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2356968B" w:rsidR="004F6471" w:rsidRPr="00B50A7C" w:rsidRDefault="00B50A7C" w:rsidP="00B50A7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विश्वासयोग्यता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21:43-45)</w:t>
      </w:r>
    </w:p>
    <w:p w14:paraId="226EFC47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यहोवा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इस्राएलियों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B50A7C">
        <w:rPr>
          <w:rFonts w:ascii="Nirmala UI" w:hAnsi="Nirmala UI" w:cs="Nirmala UI"/>
          <w:b/>
          <w:i/>
          <w:sz w:val="20"/>
          <w:szCs w:val="21"/>
        </w:rPr>
        <w:t>सब</w:t>
      </w:r>
      <w:proofErr w:type="spellEnd"/>
      <w:r w:rsidRPr="00B50A7C">
        <w:rPr>
          <w:rFonts w:ascii="Nirmala UI" w:hAnsi="Nirmala UI" w:cs="Nirmala UI"/>
          <w:b/>
          <w:i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B50A7C">
        <w:rPr>
          <w:rFonts w:ascii="Nirmala UI" w:hAnsi="Nirmala UI" w:cs="Nirmala UI" w:hint="eastAsia"/>
          <w:sz w:val="20"/>
          <w:szCs w:val="21"/>
        </w:rPr>
        <w:t>”</w:t>
      </w:r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>।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21:43)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यहोवा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B50A7C">
        <w:rPr>
          <w:rFonts w:ascii="Nirmala UI" w:hAnsi="Nirmala UI" w:cs="Nirmala UI"/>
          <w:b/>
          <w:i/>
          <w:sz w:val="20"/>
          <w:szCs w:val="21"/>
        </w:rPr>
        <w:t>सब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शत्रुओं</w:t>
      </w:r>
      <w:proofErr w:type="spellEnd"/>
      <w:r w:rsidRPr="00B50A7C">
        <w:rPr>
          <w:rFonts w:ascii="Nirmala UI" w:hAnsi="Nirmala UI" w:cs="Nirmala UI" w:hint="eastAsia"/>
          <w:sz w:val="20"/>
          <w:szCs w:val="21"/>
        </w:rPr>
        <w:t>”</w:t>
      </w:r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वश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>।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21:44),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अतः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B50A7C">
        <w:rPr>
          <w:rFonts w:ascii="Nirmala UI" w:hAnsi="Nirmala UI" w:cs="Nirmala UI"/>
          <w:b/>
          <w:i/>
          <w:sz w:val="20"/>
          <w:szCs w:val="21"/>
        </w:rPr>
        <w:t>सब</w:t>
      </w:r>
      <w:proofErr w:type="spellEnd"/>
      <w:r w:rsidRPr="00B50A7C">
        <w:rPr>
          <w:rFonts w:ascii="Nirmala UI" w:hAnsi="Nirmala UI" w:cs="Nirmala UI"/>
          <w:b/>
          <w:i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b/>
          <w:i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b/>
          <w:i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b/>
          <w:i/>
          <w:sz w:val="20"/>
          <w:szCs w:val="21"/>
        </w:rPr>
        <w:t>सब</w:t>
      </w:r>
      <w:proofErr w:type="spellEnd"/>
      <w:r w:rsidRPr="00B50A7C">
        <w:rPr>
          <w:rFonts w:ascii="Nirmala UI" w:hAnsi="Nirmala UI" w:cs="Nirmala UI"/>
          <w:b/>
          <w:i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पूरी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हुईं</w:t>
      </w:r>
      <w:proofErr w:type="spellEnd"/>
      <w:r w:rsidRPr="00B50A7C">
        <w:rPr>
          <w:rFonts w:ascii="Nirmala UI" w:hAnsi="Nirmala UI" w:cs="Nirmala UI" w:hint="eastAsia"/>
          <w:sz w:val="20"/>
          <w:szCs w:val="21"/>
        </w:rPr>
        <w:t>”</w:t>
      </w:r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21:45)।</w:t>
      </w:r>
    </w:p>
    <w:p w14:paraId="69D35B65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शब्द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सब</w:t>
      </w:r>
      <w:proofErr w:type="spellEnd"/>
      <w:r w:rsidRPr="00B50A7C">
        <w:rPr>
          <w:rFonts w:ascii="Nirmala UI" w:hAnsi="Nirmala UI" w:cs="Nirmala UI" w:hint="eastAsia"/>
          <w:sz w:val="20"/>
          <w:szCs w:val="21"/>
        </w:rPr>
        <w:t>”</w:t>
      </w:r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बार-बार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उपयोग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बात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ज़ोर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</w:t>
      </w:r>
      <w:r w:rsidRPr="00B50A7C">
        <w:rPr>
          <w:rFonts w:ascii="Nirmala UI" w:hAnsi="Nirmala UI" w:cs="Nirmala UI" w:hint="cs"/>
          <w:sz w:val="20"/>
          <w:szCs w:val="21"/>
        </w:rPr>
        <w:t>‍</w:t>
      </w:r>
      <w:r w:rsidRPr="00B50A7C">
        <w:rPr>
          <w:rFonts w:ascii="Nirmala UI" w:hAnsi="Nirmala UI" w:cs="Nirmala UI"/>
          <w:sz w:val="20"/>
          <w:szCs w:val="21"/>
        </w:rPr>
        <w:t>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अपनी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प्रतिज्ञाओं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पूरा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विश्वासयोग्य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शत्रु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द्वारा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पराजित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किये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गये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निवास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क्योंकि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अधिकार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बात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निश्चिंत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सकते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अब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कनानियों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खदेड़कर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बाहर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निकाल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देंगे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क्योंकि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अब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तक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अपनी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प्रतिज्ञाएँ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पूरी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थीं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भविष्य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रहेगा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>।</w:t>
      </w:r>
    </w:p>
    <w:p w14:paraId="1D3B8252" w14:textId="15FB03CC" w:rsidR="00233C2D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यह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सब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भले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होता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विश्वासयोग्य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व्यवस्थाविवरण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7:9;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भजन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संहिता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117:2;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विलाप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3:22-23)।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बचाने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पृथ्वी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विरासत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प्रतिज्ञा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प्रतिज्ञा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पूरा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करेगा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1:6; 1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पतरस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1:5;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भजन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संहिता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37:29)।</w:t>
      </w:r>
    </w:p>
    <w:p w14:paraId="74758543" w14:textId="77777777" w:rsidR="00B50A7C" w:rsidRPr="00B50A7C" w:rsidRDefault="00B50A7C" w:rsidP="00B50A7C">
      <w:pPr>
        <w:pStyle w:val="Prrafodelista"/>
        <w:spacing w:after="0"/>
        <w:jc w:val="both"/>
        <w:rPr>
          <w:rFonts w:ascii="Nirmala UI" w:hAnsi="Nirmala UI" w:cs="Nirmala UI"/>
          <w:sz w:val="20"/>
          <w:szCs w:val="21"/>
        </w:rPr>
      </w:pPr>
    </w:p>
    <w:p w14:paraId="6D894BFA" w14:textId="4005EF1B" w:rsidR="004F6471" w:rsidRPr="00B50A7C" w:rsidRDefault="00B50A7C" w:rsidP="00B50A7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क्या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किया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वह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क्या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करेगा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23:1-5)</w:t>
      </w:r>
    </w:p>
    <w:p w14:paraId="7D8BC243" w14:textId="33364634" w:rsidR="00233C2D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 w:hint="cs"/>
          <w:sz w:val="20"/>
          <w:szCs w:val="21"/>
        </w:rPr>
        <w:t>पुरनियों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दिए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गए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अपने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भाषण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उन्हें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यह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बताना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शुरू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किया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पहले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ही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क्या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किया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वह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अब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क्या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करने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जा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रहा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>:</w:t>
      </w:r>
    </w:p>
    <w:p w14:paraId="31BA6228" w14:textId="77777777" w:rsidR="00B50A7C" w:rsidRPr="00B50A7C" w:rsidRDefault="00B50A7C" w:rsidP="00B50A7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राष्ट्रों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विरुद्ध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युद्ध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23:3)</w:t>
      </w:r>
    </w:p>
    <w:p w14:paraId="7F7B2647" w14:textId="77777777" w:rsidR="00B50A7C" w:rsidRPr="00B50A7C" w:rsidRDefault="00B50A7C" w:rsidP="00B50A7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गोत्रों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बाँट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23:4)</w:t>
      </w:r>
    </w:p>
    <w:p w14:paraId="1D7282C2" w14:textId="262E340A" w:rsidR="00E41FB7" w:rsidRPr="00B50A7C" w:rsidRDefault="00B50A7C" w:rsidP="00B50A7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वह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बचे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हुए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राष्ट्रों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निकाल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देगा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23:5)</w:t>
      </w:r>
    </w:p>
    <w:p w14:paraId="61C22E0E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यह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सब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पहले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चुका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जाना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)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ओर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एक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शर्त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अधीन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आज्ञाकारिता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23:6)।</w:t>
      </w:r>
    </w:p>
    <w:p w14:paraId="1C238227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इतिहास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आज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एक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पाठ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पाप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विजय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प्राप्त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बलिदान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द्वारा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उद्धार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आश्वासन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कुलुस्सियों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2:15)।</w:t>
      </w:r>
    </w:p>
    <w:p w14:paraId="6A2DB6BA" w14:textId="03DCD230" w:rsidR="00E41FB7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यह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निर्भर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लड़ाई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जारी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रखें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विजयी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जीवन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जीने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पवित्र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आत्मा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भरोसा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रखें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(2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कुरिंथियों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10:3-5;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इफिसियों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6:11-18)।</w:t>
      </w:r>
    </w:p>
    <w:p w14:paraId="5B864BCE" w14:textId="77777777" w:rsidR="00B50A7C" w:rsidRPr="00B50A7C" w:rsidRDefault="00B50A7C" w:rsidP="00B50A7C">
      <w:pPr>
        <w:pStyle w:val="Prrafodelista"/>
        <w:spacing w:after="0"/>
        <w:jc w:val="both"/>
        <w:rPr>
          <w:rFonts w:ascii="Nirmala UI" w:hAnsi="Nirmala UI" w:cs="Nirmala UI"/>
          <w:sz w:val="20"/>
          <w:szCs w:val="21"/>
        </w:rPr>
      </w:pPr>
    </w:p>
    <w:p w14:paraId="47349A39" w14:textId="595C601E" w:rsidR="004F6471" w:rsidRPr="00B50A7C" w:rsidRDefault="00B50A7C" w:rsidP="00B50A7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विश्वासयोग्यता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प्रतिफल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23:6-10)</w:t>
      </w:r>
    </w:p>
    <w:p w14:paraId="265A15F5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विश्वासयोग्यता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प्रतिफल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शत्रुओं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पूर्ण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सम्पूर्ण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विजय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होगी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23:6, 10)।</w:t>
      </w:r>
    </w:p>
    <w:p w14:paraId="78AD33E6" w14:textId="391ACF08" w:rsidR="0082487D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कनान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विजय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संदर्भ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विश्वासयोग्यता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तीन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विशिष्ट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तरीकों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प्रकट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होनी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>:</w:t>
      </w:r>
    </w:p>
    <w:p w14:paraId="1CA975D3" w14:textId="77777777" w:rsidR="00B50A7C" w:rsidRPr="00B50A7C" w:rsidRDefault="00B50A7C" w:rsidP="00B50A7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उस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निवासियों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विवाह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न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23:7ए)</w:t>
      </w:r>
    </w:p>
    <w:p w14:paraId="76BF7F68" w14:textId="77777777" w:rsidR="00B50A7C" w:rsidRPr="00B50A7C" w:rsidRDefault="00B50A7C" w:rsidP="00B50A7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देवताओं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नाम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न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लेंना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23:7बी)</w:t>
      </w:r>
    </w:p>
    <w:p w14:paraId="2DB4CFBA" w14:textId="52A524BE" w:rsidR="0082487D" w:rsidRPr="00B50A7C" w:rsidRDefault="00B50A7C" w:rsidP="00B50A7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देवताओं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पूजा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न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23:7सी)</w:t>
      </w:r>
    </w:p>
    <w:p w14:paraId="451F973C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उन्हें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आध्यात्मिक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शुद्धता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बनाए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रखनी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अगर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वहाँ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निवासियों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शादी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लेते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तो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देवताओं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बात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लगते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अंततः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उनकी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पूजा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लगते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प्रकार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सुलैमान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धर्मत्याग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शुरू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हुआ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(1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राजा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11:4)।</w:t>
      </w:r>
    </w:p>
    <w:p w14:paraId="7E6A04B7" w14:textId="463C0794" w:rsidR="0082487D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इसलिए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मसीहियों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सलाह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जाती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इन्हीं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सुझावों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पालन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अविश्वासियों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विवाह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न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(2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कुरि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>. 6:14-16)।</w:t>
      </w:r>
    </w:p>
    <w:p w14:paraId="4A171067" w14:textId="77777777" w:rsidR="00B50A7C" w:rsidRPr="00B50A7C" w:rsidRDefault="00B50A7C" w:rsidP="00B50A7C">
      <w:pPr>
        <w:pStyle w:val="Prrafodelista"/>
        <w:spacing w:after="0"/>
        <w:jc w:val="both"/>
        <w:rPr>
          <w:rFonts w:ascii="Nirmala UI" w:hAnsi="Nirmala UI" w:cs="Nirmala UI"/>
          <w:sz w:val="20"/>
          <w:szCs w:val="21"/>
        </w:rPr>
      </w:pPr>
    </w:p>
    <w:p w14:paraId="480D65D5" w14:textId="35AD19B3" w:rsidR="004F6471" w:rsidRPr="00B50A7C" w:rsidRDefault="00B50A7C" w:rsidP="00B50A7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हमें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क्या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करना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चाहिए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23:11-14)</w:t>
      </w:r>
    </w:p>
    <w:p w14:paraId="273ADE0A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हम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बिना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किसी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संदेह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सकते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भाषण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मुख्य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बिंदु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पद्य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11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जाता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यहोवा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>।</w:t>
      </w:r>
    </w:p>
    <w:p w14:paraId="334CEDA1" w14:textId="26213DED" w:rsidR="00B50A7C" w:rsidRPr="00B50A7C" w:rsidRDefault="00B50A7C" w:rsidP="00B50CF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अन्य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देवताओं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न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अपना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प्रदर्शित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जिसके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परिणामस्वरूप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उन्हें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गंभीर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हानि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होती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23:12-13)।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अतिरिक्त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पोषित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एक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प्रोत्साहन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प्रस्ताव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विश्वासयोग्यता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23:14)।</w:t>
      </w:r>
    </w:p>
    <w:p w14:paraId="6019F286" w14:textId="6DA0A330" w:rsidR="00B50A7C" w:rsidRPr="00B50A7C" w:rsidRDefault="00B50A7C" w:rsidP="00F8225A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आज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बड़ी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प्रेरणा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उदाहरण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यूहन्ना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13:34)।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व्यक्ति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घनिष्ठ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व्यक्तिगत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संबंध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बनाना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चाहता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प्रत्युत्तर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>।</w:t>
      </w:r>
    </w:p>
    <w:p w14:paraId="356D703D" w14:textId="77777777" w:rsid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परिणामस्वरूप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स्वैच्छिक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पारस्परिक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अभिव्यक्ति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रूपरेखा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निर्माण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करता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>।</w:t>
      </w:r>
    </w:p>
    <w:p w14:paraId="71DD0ED7" w14:textId="77777777" w:rsidR="00B50A7C" w:rsidRDefault="00B50A7C" w:rsidP="00B50A7C">
      <w:pPr>
        <w:pStyle w:val="Prrafodelista"/>
        <w:spacing w:after="0"/>
        <w:jc w:val="both"/>
        <w:rPr>
          <w:rFonts w:ascii="Nirmala UI" w:hAnsi="Nirmala UI" w:cs="Nirmala UI"/>
          <w:sz w:val="20"/>
          <w:szCs w:val="21"/>
        </w:rPr>
      </w:pPr>
    </w:p>
    <w:p w14:paraId="33BBDE43" w14:textId="61B8AC6D" w:rsidR="00395C43" w:rsidRPr="00B50A7C" w:rsidRDefault="00B50A7C" w:rsidP="00B50A7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विश्वासघात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की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सज़ा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b/>
          <w:bCs/>
          <w:sz w:val="20"/>
          <w:szCs w:val="21"/>
        </w:rPr>
        <w:t xml:space="preserve"> 23:15-16)</w:t>
      </w:r>
    </w:p>
    <w:p w14:paraId="7DBF27CE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अपने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भाषण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अंत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अवज्ञा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परिणामों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बारे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चेतावनी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कठोर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शब्दों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क्रोध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सहना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23:15-16)।</w:t>
      </w:r>
    </w:p>
    <w:p w14:paraId="6F60C5BE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प्रतिज्ञा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गए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वाचा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तोड़कर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यहोवा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क्रोध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भड़काने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परिणामों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पूरी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तरह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अवगत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था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>।</w:t>
      </w:r>
    </w:p>
    <w:p w14:paraId="7D382AE4" w14:textId="77777777" w:rsidR="00B50A7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वही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जिसके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कारण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अपने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पुत्र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वही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उन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क्रोध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प्रकट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होता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जो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पाप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हठपूर्वक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चिपके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रहते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यूहन्ना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3:16;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रोमियों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2:5)।</w:t>
      </w:r>
    </w:p>
    <w:p w14:paraId="2EF7E311" w14:textId="0F6A1A09" w:rsidR="001F796C" w:rsidRPr="00B50A7C" w:rsidRDefault="00B50A7C" w:rsidP="00B50A7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B50A7C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असफल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इसकी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सज़ा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भुगतनी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पड़ी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आज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पास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एक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अलग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कहानी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लिखने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मौका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है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विश्वासयोग्य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और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प्रेम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बने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रहना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B50A7C">
        <w:rPr>
          <w:rFonts w:ascii="Nirmala UI" w:hAnsi="Nirmala UI" w:cs="Nirmala UI"/>
          <w:sz w:val="20"/>
          <w:szCs w:val="21"/>
        </w:rPr>
        <w:t>यूहन्ना</w:t>
      </w:r>
      <w:proofErr w:type="spellEnd"/>
      <w:r w:rsidRPr="00B50A7C">
        <w:rPr>
          <w:rFonts w:ascii="Nirmala UI" w:hAnsi="Nirmala UI" w:cs="Nirmala UI"/>
          <w:sz w:val="20"/>
          <w:szCs w:val="21"/>
        </w:rPr>
        <w:t xml:space="preserve"> 15:9)।</w:t>
      </w:r>
    </w:p>
    <w:sectPr w:rsidR="001F796C" w:rsidRPr="00B50A7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412A4130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606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B2AC6"/>
    <w:rsid w:val="000B440E"/>
    <w:rsid w:val="001200EE"/>
    <w:rsid w:val="001E4AA8"/>
    <w:rsid w:val="001F796C"/>
    <w:rsid w:val="00230632"/>
    <w:rsid w:val="00233C2D"/>
    <w:rsid w:val="002911E4"/>
    <w:rsid w:val="003036B8"/>
    <w:rsid w:val="00303971"/>
    <w:rsid w:val="00395C43"/>
    <w:rsid w:val="003D5E96"/>
    <w:rsid w:val="004466B6"/>
    <w:rsid w:val="004D5CB2"/>
    <w:rsid w:val="004F6471"/>
    <w:rsid w:val="00595B64"/>
    <w:rsid w:val="006B286A"/>
    <w:rsid w:val="00711123"/>
    <w:rsid w:val="00794209"/>
    <w:rsid w:val="0082487D"/>
    <w:rsid w:val="008B6085"/>
    <w:rsid w:val="00AB406A"/>
    <w:rsid w:val="00AC48C8"/>
    <w:rsid w:val="00B50A7C"/>
    <w:rsid w:val="00BA3EAE"/>
    <w:rsid w:val="00C22FAD"/>
    <w:rsid w:val="00C46A68"/>
    <w:rsid w:val="00E41FB7"/>
    <w:rsid w:val="00E62FC0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2025-12-05T07:36:00Z</cp:lastPrinted>
  <dcterms:created xsi:type="dcterms:W3CDTF">2025-12-05T14:52:00Z</dcterms:created>
  <dcterms:modified xsi:type="dcterms:W3CDTF">2025-12-05T14:52:00Z</dcterms:modified>
</cp:coreProperties>
</file>