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80BE" w14:textId="77777777" w:rsidR="003F65FF" w:rsidRPr="003F65FF" w:rsidRDefault="003F65FF" w:rsidP="003F65FF">
      <w:pPr>
        <w:pStyle w:val="Prrafodelista"/>
        <w:numPr>
          <w:ilvl w:val="0"/>
          <w:numId w:val="1"/>
        </w:numPr>
        <w:rPr>
          <w:b/>
          <w:bCs/>
          <w:sz w:val="20"/>
          <w:szCs w:val="20"/>
          <w:lang w:val="es-ES_tradnl"/>
        </w:rPr>
      </w:pPr>
      <w:r w:rsidRPr="003F65FF">
        <w:rPr>
          <w:b/>
          <w:bCs/>
          <w:sz w:val="20"/>
          <w:szCs w:val="20"/>
          <w:lang w:val="lv-LV"/>
        </w:rPr>
        <w:t>Garīgās dāvanas</w:t>
      </w:r>
      <w:r w:rsidRPr="003F65FF">
        <w:rPr>
          <w:b/>
          <w:bCs/>
          <w:sz w:val="20"/>
          <w:szCs w:val="20"/>
        </w:rPr>
        <w:t>:</w:t>
      </w:r>
    </w:p>
    <w:p w14:paraId="6D8459E1" w14:textId="77777777" w:rsidR="003F65FF" w:rsidRPr="003F65FF" w:rsidRDefault="003F65FF" w:rsidP="003F65FF">
      <w:pPr>
        <w:pStyle w:val="Prrafodelista"/>
        <w:numPr>
          <w:ilvl w:val="1"/>
          <w:numId w:val="1"/>
        </w:numPr>
        <w:rPr>
          <w:b/>
          <w:bCs/>
          <w:sz w:val="20"/>
          <w:szCs w:val="20"/>
          <w:lang w:val="es-ES_tradnl"/>
        </w:rPr>
      </w:pPr>
      <w:r w:rsidRPr="003F65FF">
        <w:rPr>
          <w:b/>
          <w:bCs/>
          <w:sz w:val="20"/>
          <w:szCs w:val="20"/>
          <w:lang w:val="lv-LV"/>
        </w:rPr>
        <w:t>Dāvanu daudzveidība, viens Dāvinātājs</w:t>
      </w:r>
      <w:r w:rsidRPr="003F65FF">
        <w:rPr>
          <w:b/>
          <w:bCs/>
          <w:sz w:val="20"/>
          <w:szCs w:val="20"/>
        </w:rPr>
        <w:t>.</w:t>
      </w:r>
    </w:p>
    <w:p w14:paraId="3607945B" w14:textId="6B4D067E" w:rsidR="0044563A" w:rsidRPr="003F65FF" w:rsidRDefault="003F65FF" w:rsidP="003F65FF">
      <w:pPr>
        <w:pStyle w:val="Prrafodelista"/>
        <w:numPr>
          <w:ilvl w:val="2"/>
          <w:numId w:val="1"/>
        </w:numPr>
        <w:rPr>
          <w:sz w:val="20"/>
          <w:szCs w:val="20"/>
          <w:lang w:val="lv-LV"/>
        </w:rPr>
      </w:pPr>
      <w:r w:rsidRPr="003F65FF">
        <w:rPr>
          <w:sz w:val="20"/>
          <w:szCs w:val="20"/>
          <w:lang w:val="lv-LV"/>
        </w:rPr>
        <w:t>Kas piešķir garīgās dāvanas? (1. Kor. 12:4–6)</w:t>
      </w:r>
    </w:p>
    <w:tbl>
      <w:tblPr>
        <w:tblW w:w="10196" w:type="dxa"/>
        <w:tblLayout w:type="fixed"/>
        <w:tblCellMar>
          <w:left w:w="0" w:type="dxa"/>
          <w:right w:w="0" w:type="dxa"/>
        </w:tblCellMar>
        <w:tblLook w:val="0400" w:firstRow="0" w:lastRow="0" w:firstColumn="0" w:lastColumn="0" w:noHBand="0" w:noVBand="1"/>
      </w:tblPr>
      <w:tblGrid>
        <w:gridCol w:w="1407"/>
        <w:gridCol w:w="2269"/>
        <w:gridCol w:w="1984"/>
        <w:gridCol w:w="851"/>
        <w:gridCol w:w="1701"/>
        <w:gridCol w:w="1984"/>
      </w:tblGrid>
      <w:tr w:rsidR="0044563A" w:rsidRPr="002A0446" w14:paraId="4B970054" w14:textId="77777777" w:rsidTr="002A0446">
        <w:trPr>
          <w:trHeight w:val="226"/>
        </w:trPr>
        <w:tc>
          <w:tcPr>
            <w:tcW w:w="1407"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07A32451" w14:textId="5C53B682" w:rsidR="0044563A" w:rsidRPr="001B2D2A" w:rsidRDefault="0044563A"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1</w:t>
            </w:r>
            <w:r w:rsidR="003F65FF" w:rsidRPr="001B2D2A">
              <w:rPr>
                <w:rFonts w:ascii="Aptos" w:eastAsia="Times New Roman" w:hAnsi="Aptos" w:cs="Arial"/>
                <w:color w:val="000000" w:themeColor="dark1"/>
                <w:kern w:val="24"/>
                <w:sz w:val="20"/>
                <w:szCs w:val="20"/>
                <w:lang w:val="lv-LV" w:eastAsia="es-ES"/>
              </w:rPr>
              <w:t>.Kor</w:t>
            </w:r>
            <w:r w:rsidRPr="001B2D2A">
              <w:rPr>
                <w:rFonts w:ascii="Aptos" w:eastAsia="Times New Roman" w:hAnsi="Aptos" w:cs="Arial"/>
                <w:color w:val="000000" w:themeColor="dark1"/>
                <w:kern w:val="24"/>
                <w:sz w:val="20"/>
                <w:szCs w:val="20"/>
                <w:lang w:val="lv-LV" w:eastAsia="es-ES"/>
              </w:rPr>
              <w:t>. 12:4</w:t>
            </w:r>
          </w:p>
        </w:tc>
        <w:tc>
          <w:tcPr>
            <w:tcW w:w="2269" w:type="dxa"/>
            <w:vMerge w:val="restart"/>
            <w:tcBorders>
              <w:top w:val="single" w:sz="8" w:space="0" w:color="000000"/>
              <w:left w:val="single" w:sz="8" w:space="0" w:color="7F4D00"/>
              <w:bottom w:val="single" w:sz="8" w:space="0" w:color="000000"/>
              <w:right w:val="single" w:sz="8" w:space="0" w:color="FF5050"/>
            </w:tcBorders>
            <w:shd w:val="clear" w:color="auto" w:fill="FFFFC2"/>
            <w:tcMar>
              <w:top w:w="72" w:type="dxa"/>
              <w:left w:w="144" w:type="dxa"/>
              <w:bottom w:w="72" w:type="dxa"/>
              <w:right w:w="144" w:type="dxa"/>
            </w:tcMar>
            <w:vAlign w:val="center"/>
            <w:hideMark/>
          </w:tcPr>
          <w:p w14:paraId="18B4F1A6" w14:textId="6BA7D3DB" w:rsidR="0044563A" w:rsidRPr="001B2D2A" w:rsidRDefault="003F65FF" w:rsidP="0044563A">
            <w:pPr>
              <w:spacing w:after="0" w:line="240" w:lineRule="auto"/>
              <w:rPr>
                <w:rFonts w:ascii="Aptos" w:eastAsia="Times New Roman" w:hAnsi="Aptos" w:cs="Arial"/>
                <w:color w:val="000000" w:themeColor="dark1"/>
                <w:kern w:val="24"/>
                <w:sz w:val="20"/>
                <w:szCs w:val="20"/>
                <w:lang w:val="lv-LV" w:eastAsia="es-ES"/>
              </w:rPr>
            </w:pPr>
            <w:r w:rsidRPr="001B2D2A">
              <w:rPr>
                <w:rFonts w:ascii="Aptos" w:eastAsia="Times New Roman" w:hAnsi="Aptos" w:cs="Arial"/>
                <w:b/>
                <w:bCs/>
                <w:color w:val="000000" w:themeColor="dark1"/>
                <w:kern w:val="24"/>
                <w:sz w:val="20"/>
                <w:szCs w:val="20"/>
                <w:lang w:val="lv-LV" w:eastAsia="es-ES"/>
              </w:rPr>
              <w:t>Dažādas</w:t>
            </w:r>
          </w:p>
        </w:tc>
        <w:tc>
          <w:tcPr>
            <w:tcW w:w="1984"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70A725F3" w14:textId="659F7E89" w:rsidR="0044563A" w:rsidRPr="003F65FF" w:rsidRDefault="003F65FF" w:rsidP="0044563A">
            <w:pPr>
              <w:spacing w:after="0" w:line="240" w:lineRule="auto"/>
              <w:rPr>
                <w:rFonts w:ascii="Aptos" w:eastAsia="Times New Roman" w:hAnsi="Aptos" w:cs="Arial"/>
                <w:color w:val="000000" w:themeColor="dark1"/>
                <w:kern w:val="24"/>
                <w:sz w:val="20"/>
                <w:szCs w:val="20"/>
                <w:lang w:val="es-ES_tradnl" w:eastAsia="es-ES"/>
              </w:rPr>
            </w:pPr>
            <w:r w:rsidRPr="003F65FF">
              <w:rPr>
                <w:rFonts w:ascii="Aptos" w:eastAsia="Times New Roman" w:hAnsi="Aptos" w:cs="Arial"/>
                <w:b/>
                <w:bCs/>
                <w:color w:val="000000" w:themeColor="dark1"/>
                <w:kern w:val="24"/>
                <w:sz w:val="20"/>
                <w:szCs w:val="20"/>
                <w:lang w:val="lv-LV" w:eastAsia="es-ES"/>
              </w:rPr>
              <w:t>dāvanas</w:t>
            </w:r>
          </w:p>
        </w:tc>
        <w:tc>
          <w:tcPr>
            <w:tcW w:w="851" w:type="dxa"/>
            <w:vMerge w:val="restart"/>
            <w:tcBorders>
              <w:top w:val="single" w:sz="8" w:space="0" w:color="000000"/>
              <w:left w:val="single" w:sz="8" w:space="0" w:color="FF5050"/>
              <w:bottom w:val="single" w:sz="8" w:space="0" w:color="000000"/>
              <w:right w:val="single" w:sz="8" w:space="0" w:color="006600"/>
            </w:tcBorders>
            <w:shd w:val="clear" w:color="auto" w:fill="FFFFC2"/>
            <w:tcMar>
              <w:top w:w="72" w:type="dxa"/>
              <w:left w:w="144" w:type="dxa"/>
              <w:bottom w:w="72" w:type="dxa"/>
              <w:right w:w="144" w:type="dxa"/>
            </w:tcMar>
            <w:vAlign w:val="center"/>
            <w:hideMark/>
          </w:tcPr>
          <w:p w14:paraId="5767C167" w14:textId="5E769F74" w:rsidR="0044563A" w:rsidRPr="001B2D2A" w:rsidRDefault="003F65FF"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bet</w:t>
            </w:r>
          </w:p>
        </w:tc>
        <w:tc>
          <w:tcPr>
            <w:tcW w:w="170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42737C70" w14:textId="7B946746" w:rsidR="0044563A" w:rsidRPr="001B2D2A" w:rsidRDefault="003F65FF" w:rsidP="0044563A">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Gars</w:t>
            </w:r>
          </w:p>
        </w:tc>
        <w:tc>
          <w:tcPr>
            <w:tcW w:w="1984" w:type="dxa"/>
            <w:vMerge w:val="restart"/>
            <w:tcBorders>
              <w:top w:val="single" w:sz="8" w:space="0" w:color="000000"/>
              <w:left w:val="single" w:sz="8" w:space="0" w:color="006600"/>
              <w:bottom w:val="single" w:sz="8" w:space="0" w:color="000000"/>
              <w:right w:val="single" w:sz="8" w:space="0" w:color="000000"/>
            </w:tcBorders>
            <w:shd w:val="clear" w:color="auto" w:fill="FFFFC2"/>
            <w:tcMar>
              <w:top w:w="72" w:type="dxa"/>
              <w:left w:w="144" w:type="dxa"/>
              <w:bottom w:w="72" w:type="dxa"/>
              <w:right w:w="144" w:type="dxa"/>
            </w:tcMar>
            <w:vAlign w:val="center"/>
            <w:hideMark/>
          </w:tcPr>
          <w:p w14:paraId="63799D5E" w14:textId="1B77C845" w:rsidR="0044563A" w:rsidRPr="001B2D2A" w:rsidRDefault="003F65FF"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viens un tas pats</w:t>
            </w:r>
          </w:p>
        </w:tc>
      </w:tr>
      <w:tr w:rsidR="0044563A" w:rsidRPr="002A0446" w14:paraId="6A4C96DC" w14:textId="77777777" w:rsidTr="002A0446">
        <w:trPr>
          <w:trHeight w:val="246"/>
        </w:trPr>
        <w:tc>
          <w:tcPr>
            <w:tcW w:w="1407" w:type="dxa"/>
            <w:tcBorders>
              <w:top w:val="single" w:sz="8" w:space="0" w:color="7F4D00"/>
              <w:left w:val="single" w:sz="8" w:space="0" w:color="7F4D00"/>
              <w:bottom w:val="single" w:sz="8" w:space="0" w:color="7F4D00"/>
              <w:right w:val="single" w:sz="8" w:space="0" w:color="7F4D00"/>
            </w:tcBorders>
            <w:shd w:val="clear" w:color="auto" w:fill="FFEBCC"/>
            <w:tcMar>
              <w:top w:w="72" w:type="dxa"/>
              <w:left w:w="144" w:type="dxa"/>
              <w:bottom w:w="72" w:type="dxa"/>
              <w:right w:w="144" w:type="dxa"/>
            </w:tcMar>
            <w:hideMark/>
          </w:tcPr>
          <w:p w14:paraId="7AF486E8" w14:textId="1107AD23" w:rsidR="0044563A" w:rsidRPr="001B2D2A" w:rsidRDefault="0044563A"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1</w:t>
            </w:r>
            <w:r w:rsidR="003F65FF" w:rsidRPr="001B2D2A">
              <w:rPr>
                <w:rFonts w:ascii="Aptos" w:eastAsia="Times New Roman" w:hAnsi="Aptos" w:cs="Arial"/>
                <w:color w:val="000000" w:themeColor="dark1"/>
                <w:kern w:val="24"/>
                <w:sz w:val="20"/>
                <w:szCs w:val="20"/>
                <w:lang w:val="lv-LV" w:eastAsia="es-ES"/>
              </w:rPr>
              <w:t>.Kor.</w:t>
            </w:r>
            <w:r w:rsidRPr="001B2D2A">
              <w:rPr>
                <w:rFonts w:ascii="Aptos" w:eastAsia="Times New Roman" w:hAnsi="Aptos" w:cs="Arial"/>
                <w:color w:val="000000" w:themeColor="dark1"/>
                <w:kern w:val="24"/>
                <w:sz w:val="20"/>
                <w:szCs w:val="20"/>
                <w:lang w:val="lv-LV" w:eastAsia="es-ES"/>
              </w:rPr>
              <w:t xml:space="preserve"> 12:5</w:t>
            </w:r>
          </w:p>
        </w:tc>
        <w:tc>
          <w:tcPr>
            <w:tcW w:w="2269" w:type="dxa"/>
            <w:vMerge/>
            <w:tcBorders>
              <w:top w:val="single" w:sz="8" w:space="0" w:color="000000"/>
              <w:left w:val="single" w:sz="8" w:space="0" w:color="7F4D00"/>
              <w:bottom w:val="single" w:sz="8" w:space="0" w:color="000000"/>
              <w:right w:val="single" w:sz="8" w:space="0" w:color="FF5050"/>
            </w:tcBorders>
            <w:vAlign w:val="center"/>
            <w:hideMark/>
          </w:tcPr>
          <w:p w14:paraId="11E85DCE"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984" w:type="dxa"/>
            <w:tcBorders>
              <w:top w:val="single" w:sz="8" w:space="0" w:color="FF5050"/>
              <w:left w:val="single" w:sz="8" w:space="0" w:color="FF5050"/>
              <w:bottom w:val="single" w:sz="8" w:space="0" w:color="FF5050"/>
              <w:right w:val="single" w:sz="8" w:space="0" w:color="FF5050"/>
            </w:tcBorders>
            <w:shd w:val="clear" w:color="auto" w:fill="FFE9E9"/>
            <w:tcMar>
              <w:top w:w="72" w:type="dxa"/>
              <w:left w:w="144" w:type="dxa"/>
              <w:bottom w:w="72" w:type="dxa"/>
              <w:right w:w="144" w:type="dxa"/>
            </w:tcMar>
            <w:hideMark/>
          </w:tcPr>
          <w:p w14:paraId="1A63747D" w14:textId="0FF3CDAE" w:rsidR="0044563A" w:rsidRPr="001B2D2A" w:rsidRDefault="003F65FF"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kalpošanas</w:t>
            </w:r>
          </w:p>
        </w:tc>
        <w:tc>
          <w:tcPr>
            <w:tcW w:w="851" w:type="dxa"/>
            <w:vMerge/>
            <w:tcBorders>
              <w:top w:val="single" w:sz="8" w:space="0" w:color="000000"/>
              <w:left w:val="single" w:sz="8" w:space="0" w:color="FF5050"/>
              <w:bottom w:val="single" w:sz="8" w:space="0" w:color="000000"/>
              <w:right w:val="single" w:sz="8" w:space="0" w:color="006600"/>
            </w:tcBorders>
            <w:vAlign w:val="center"/>
            <w:hideMark/>
          </w:tcPr>
          <w:p w14:paraId="7478B247"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701" w:type="dxa"/>
            <w:tcBorders>
              <w:top w:val="single" w:sz="8" w:space="0" w:color="006600"/>
              <w:left w:val="single" w:sz="8" w:space="0" w:color="006600"/>
              <w:bottom w:val="single" w:sz="8" w:space="0" w:color="006600"/>
              <w:right w:val="single" w:sz="8" w:space="0" w:color="006600"/>
            </w:tcBorders>
            <w:shd w:val="clear" w:color="auto" w:fill="C2FFC2"/>
            <w:tcMar>
              <w:top w:w="72" w:type="dxa"/>
              <w:left w:w="144" w:type="dxa"/>
              <w:bottom w:w="72" w:type="dxa"/>
              <w:right w:w="144" w:type="dxa"/>
            </w:tcMar>
            <w:hideMark/>
          </w:tcPr>
          <w:p w14:paraId="555C49F3" w14:textId="5F784822" w:rsidR="0044563A" w:rsidRPr="001B2D2A" w:rsidRDefault="003F65FF"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Kungs</w:t>
            </w:r>
          </w:p>
        </w:tc>
        <w:tc>
          <w:tcPr>
            <w:tcW w:w="1984" w:type="dxa"/>
            <w:vMerge/>
            <w:tcBorders>
              <w:top w:val="single" w:sz="8" w:space="0" w:color="000000"/>
              <w:left w:val="single" w:sz="8" w:space="0" w:color="006600"/>
              <w:bottom w:val="single" w:sz="8" w:space="0" w:color="000000"/>
              <w:right w:val="single" w:sz="8" w:space="0" w:color="000000"/>
            </w:tcBorders>
            <w:vAlign w:val="center"/>
            <w:hideMark/>
          </w:tcPr>
          <w:p w14:paraId="508DC85E" w14:textId="77777777" w:rsidR="0044563A" w:rsidRPr="002A0446" w:rsidRDefault="0044563A" w:rsidP="0044563A">
            <w:pPr>
              <w:spacing w:after="0" w:line="240" w:lineRule="auto"/>
              <w:rPr>
                <w:rFonts w:ascii="Arial" w:eastAsia="Times New Roman" w:hAnsi="Arial" w:cs="Arial"/>
                <w:sz w:val="20"/>
                <w:szCs w:val="20"/>
                <w:lang w:eastAsia="es-ES"/>
              </w:rPr>
            </w:pPr>
          </w:p>
        </w:tc>
      </w:tr>
      <w:tr w:rsidR="0044563A" w:rsidRPr="002A0446" w14:paraId="52B49650" w14:textId="77777777" w:rsidTr="002A0446">
        <w:trPr>
          <w:trHeight w:val="124"/>
        </w:trPr>
        <w:tc>
          <w:tcPr>
            <w:tcW w:w="1407"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17447886" w14:textId="5A32AD8A" w:rsidR="0044563A" w:rsidRPr="001B2D2A" w:rsidRDefault="0044563A"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1</w:t>
            </w:r>
            <w:r w:rsidR="003F65FF" w:rsidRPr="001B2D2A">
              <w:rPr>
                <w:rFonts w:ascii="Aptos" w:eastAsia="Times New Roman" w:hAnsi="Aptos" w:cs="Arial"/>
                <w:color w:val="000000" w:themeColor="dark1"/>
                <w:kern w:val="24"/>
                <w:sz w:val="20"/>
                <w:szCs w:val="20"/>
                <w:lang w:val="lv-LV" w:eastAsia="es-ES"/>
              </w:rPr>
              <w:t xml:space="preserve">.Kor. </w:t>
            </w:r>
            <w:r w:rsidRPr="001B2D2A">
              <w:rPr>
                <w:rFonts w:ascii="Aptos" w:eastAsia="Times New Roman" w:hAnsi="Aptos" w:cs="Arial"/>
                <w:color w:val="000000" w:themeColor="dark1"/>
                <w:kern w:val="24"/>
                <w:sz w:val="20"/>
                <w:szCs w:val="20"/>
                <w:lang w:val="lv-LV" w:eastAsia="es-ES"/>
              </w:rPr>
              <w:t>12:6</w:t>
            </w:r>
          </w:p>
        </w:tc>
        <w:tc>
          <w:tcPr>
            <w:tcW w:w="2269" w:type="dxa"/>
            <w:vMerge/>
            <w:tcBorders>
              <w:top w:val="single" w:sz="8" w:space="0" w:color="000000"/>
              <w:left w:val="single" w:sz="8" w:space="0" w:color="7F4D00"/>
              <w:bottom w:val="single" w:sz="8" w:space="0" w:color="000000"/>
              <w:right w:val="single" w:sz="8" w:space="0" w:color="FF5050"/>
            </w:tcBorders>
            <w:vAlign w:val="center"/>
            <w:hideMark/>
          </w:tcPr>
          <w:p w14:paraId="38D07729"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984"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30782880" w14:textId="2889EB77" w:rsidR="0044563A" w:rsidRPr="002A0446" w:rsidRDefault="003F65FF" w:rsidP="003F65FF">
            <w:pPr>
              <w:spacing w:after="0" w:line="240" w:lineRule="auto"/>
              <w:rPr>
                <w:rFonts w:ascii="Arial" w:eastAsia="Times New Roman" w:hAnsi="Arial" w:cs="Arial"/>
                <w:sz w:val="20"/>
                <w:szCs w:val="20"/>
                <w:lang w:eastAsia="es-ES"/>
              </w:rPr>
            </w:pPr>
            <w:r>
              <w:rPr>
                <w:rFonts w:ascii="Aptos" w:eastAsia="Times New Roman" w:hAnsi="Aptos" w:cs="Arial"/>
                <w:color w:val="000000" w:themeColor="dark1"/>
                <w:kern w:val="24"/>
                <w:sz w:val="20"/>
                <w:szCs w:val="20"/>
                <w:lang w:eastAsia="es-ES"/>
              </w:rPr>
              <w:t>jomas</w:t>
            </w:r>
          </w:p>
        </w:tc>
        <w:tc>
          <w:tcPr>
            <w:tcW w:w="851" w:type="dxa"/>
            <w:vMerge/>
            <w:tcBorders>
              <w:top w:val="single" w:sz="8" w:space="0" w:color="000000"/>
              <w:left w:val="single" w:sz="8" w:space="0" w:color="FF5050"/>
              <w:bottom w:val="single" w:sz="8" w:space="0" w:color="000000"/>
              <w:right w:val="single" w:sz="8" w:space="0" w:color="006600"/>
            </w:tcBorders>
            <w:vAlign w:val="center"/>
            <w:hideMark/>
          </w:tcPr>
          <w:p w14:paraId="0CB690B8"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70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52DA8AA1" w14:textId="06691CF6" w:rsidR="0044563A" w:rsidRPr="001B2D2A" w:rsidRDefault="0044563A" w:rsidP="003F65FF">
            <w:pPr>
              <w:spacing w:after="0" w:line="240" w:lineRule="auto"/>
              <w:rPr>
                <w:rFonts w:ascii="Arial" w:eastAsia="Times New Roman" w:hAnsi="Arial" w:cs="Arial"/>
                <w:sz w:val="20"/>
                <w:szCs w:val="20"/>
                <w:lang w:val="lv-LV" w:eastAsia="es-ES"/>
              </w:rPr>
            </w:pPr>
            <w:r w:rsidRPr="001B2D2A">
              <w:rPr>
                <w:rFonts w:ascii="Aptos" w:eastAsia="Times New Roman" w:hAnsi="Aptos" w:cs="Arial"/>
                <w:color w:val="000000" w:themeColor="dark1"/>
                <w:kern w:val="24"/>
                <w:sz w:val="20"/>
                <w:szCs w:val="20"/>
                <w:lang w:val="lv-LV" w:eastAsia="es-ES"/>
              </w:rPr>
              <w:t>Di</w:t>
            </w:r>
            <w:r w:rsidR="003F65FF" w:rsidRPr="001B2D2A">
              <w:rPr>
                <w:rFonts w:ascii="Aptos" w:eastAsia="Times New Roman" w:hAnsi="Aptos" w:cs="Arial"/>
                <w:color w:val="000000" w:themeColor="dark1"/>
                <w:kern w:val="24"/>
                <w:sz w:val="20"/>
                <w:szCs w:val="20"/>
                <w:lang w:val="lv-LV" w:eastAsia="es-ES"/>
              </w:rPr>
              <w:t>evs</w:t>
            </w:r>
          </w:p>
        </w:tc>
        <w:tc>
          <w:tcPr>
            <w:tcW w:w="1984" w:type="dxa"/>
            <w:vMerge/>
            <w:tcBorders>
              <w:top w:val="single" w:sz="8" w:space="0" w:color="000000"/>
              <w:left w:val="single" w:sz="8" w:space="0" w:color="006600"/>
              <w:bottom w:val="single" w:sz="8" w:space="0" w:color="000000"/>
              <w:right w:val="single" w:sz="8" w:space="0" w:color="000000"/>
            </w:tcBorders>
            <w:vAlign w:val="center"/>
            <w:hideMark/>
          </w:tcPr>
          <w:p w14:paraId="25052DA3" w14:textId="77777777" w:rsidR="0044563A" w:rsidRPr="002A0446" w:rsidRDefault="0044563A" w:rsidP="0044563A">
            <w:pPr>
              <w:spacing w:after="0" w:line="240" w:lineRule="auto"/>
              <w:rPr>
                <w:rFonts w:ascii="Arial" w:eastAsia="Times New Roman" w:hAnsi="Arial" w:cs="Arial"/>
                <w:sz w:val="20"/>
                <w:szCs w:val="20"/>
                <w:lang w:eastAsia="es-ES"/>
              </w:rPr>
            </w:pPr>
          </w:p>
        </w:tc>
      </w:tr>
    </w:tbl>
    <w:p w14:paraId="50079D6A" w14:textId="4D73416B" w:rsidR="003F65FF" w:rsidRPr="0019283C" w:rsidRDefault="003F65FF" w:rsidP="003F65FF">
      <w:pPr>
        <w:pStyle w:val="Prrafodelista"/>
        <w:numPr>
          <w:ilvl w:val="0"/>
          <w:numId w:val="2"/>
        </w:numPr>
        <w:rPr>
          <w:sz w:val="20"/>
          <w:szCs w:val="20"/>
          <w:lang w:val="lv-LV"/>
        </w:rPr>
      </w:pPr>
      <w:r w:rsidRPr="0019283C">
        <w:rPr>
          <w:sz w:val="20"/>
          <w:szCs w:val="20"/>
          <w:lang w:val="lv-LV"/>
        </w:rPr>
        <w:t>Lai palīdzētu mums izprast saikni starp garīgajām dāvanām un to Devēju, Pāvils izmanto trīs terminus, lai tās apzīmētu, uzsverot to daudzveidību: dāvanas; kalpošanas; un darbības.</w:t>
      </w:r>
    </w:p>
    <w:p w14:paraId="4F2EBBC1" w14:textId="286578C3" w:rsidR="003F65FF" w:rsidRPr="0019283C" w:rsidRDefault="003F65FF" w:rsidP="003F65FF">
      <w:pPr>
        <w:pStyle w:val="Prrafodelista"/>
        <w:numPr>
          <w:ilvl w:val="0"/>
          <w:numId w:val="2"/>
        </w:numPr>
        <w:rPr>
          <w:sz w:val="20"/>
          <w:szCs w:val="20"/>
          <w:lang w:val="lv-LV"/>
        </w:rPr>
      </w:pPr>
      <w:r w:rsidRPr="0019283C">
        <w:rPr>
          <w:sz w:val="20"/>
          <w:szCs w:val="20"/>
          <w:lang w:val="lv-LV"/>
        </w:rPr>
        <w:t>Tomēr Devējs ir tikai viens: [Svētais] Gars; Kungs [Jēzus]; un Dievs [Tēvs]. Citiem vārdiem: Dievība darbojas vienoti (Jņ. 14:16).</w:t>
      </w:r>
    </w:p>
    <w:p w14:paraId="4EE5C98F" w14:textId="63B5F2C5" w:rsidR="003F65FF" w:rsidRPr="0019283C" w:rsidRDefault="003F65FF" w:rsidP="003F65FF">
      <w:pPr>
        <w:pStyle w:val="Prrafodelista"/>
        <w:numPr>
          <w:ilvl w:val="0"/>
          <w:numId w:val="2"/>
        </w:numPr>
        <w:rPr>
          <w:sz w:val="20"/>
          <w:szCs w:val="20"/>
          <w:lang w:val="lv-LV"/>
        </w:rPr>
      </w:pPr>
      <w:r w:rsidRPr="0019283C">
        <w:rPr>
          <w:sz w:val="20"/>
          <w:szCs w:val="20"/>
          <w:lang w:val="lv-LV"/>
        </w:rPr>
        <w:t>Bet Dievs nepiešķir dāvanas tā, kā to darīja grieķu un romiešu „dievi” (1. Kor. 12:2). Nav nekādas ekstāzes, nedz arī hierarhiskas dāvanu saņēmēju atlases (kā, piemēram, priester</w:t>
      </w:r>
      <w:r w:rsidR="0019283C">
        <w:rPr>
          <w:sz w:val="20"/>
          <w:szCs w:val="20"/>
          <w:lang w:val="lv-LV"/>
        </w:rPr>
        <w:t>i</w:t>
      </w:r>
      <w:r w:rsidRPr="0019283C">
        <w:rPr>
          <w:sz w:val="20"/>
          <w:szCs w:val="20"/>
          <w:lang w:val="lv-LV"/>
        </w:rPr>
        <w:t>e</w:t>
      </w:r>
      <w:r w:rsidR="0019283C">
        <w:rPr>
          <w:sz w:val="20"/>
          <w:szCs w:val="20"/>
          <w:lang w:val="lv-LV"/>
        </w:rPr>
        <w:t>ne</w:t>
      </w:r>
      <w:r w:rsidRPr="0019283C">
        <w:rPr>
          <w:sz w:val="20"/>
          <w:szCs w:val="20"/>
          <w:lang w:val="lv-LV"/>
        </w:rPr>
        <w:t>s).</w:t>
      </w:r>
    </w:p>
    <w:p w14:paraId="607242BF" w14:textId="7D747295" w:rsidR="003F65FF" w:rsidRPr="0019283C" w:rsidRDefault="003F65FF" w:rsidP="003F65FF">
      <w:pPr>
        <w:pStyle w:val="Prrafodelista"/>
        <w:ind w:left="1068"/>
        <w:rPr>
          <w:sz w:val="20"/>
          <w:szCs w:val="20"/>
          <w:lang w:val="lv-LV"/>
        </w:rPr>
      </w:pPr>
      <w:r w:rsidRPr="0019283C">
        <w:rPr>
          <w:sz w:val="20"/>
          <w:szCs w:val="20"/>
          <w:lang w:val="lv-LV"/>
        </w:rPr>
        <w:t>Kāds ir iemesls, kāpēc Dievs dažādiem cilvēkiem piešķir dažādas dāvanas? (1. Kor. 12:7)</w:t>
      </w:r>
    </w:p>
    <w:p w14:paraId="02320146" w14:textId="09C631E1" w:rsidR="003F65FF" w:rsidRPr="001F0054" w:rsidRDefault="0019283C" w:rsidP="003F65FF">
      <w:pPr>
        <w:pStyle w:val="Prrafodelista"/>
        <w:numPr>
          <w:ilvl w:val="0"/>
          <w:numId w:val="2"/>
        </w:numPr>
        <w:rPr>
          <w:sz w:val="20"/>
          <w:szCs w:val="20"/>
          <w:lang w:val="lv-LV"/>
        </w:rPr>
      </w:pPr>
      <w:r w:rsidRPr="001F0054">
        <w:rPr>
          <w:bCs/>
          <w:sz w:val="20"/>
          <w:szCs w:val="20"/>
          <w:lang w:val="lv-LV"/>
        </w:rPr>
        <w:t>Garīgās dāvanas tiek izmantotas draudzes „labā”. Tikai Dievs zina, kuri cilvēki var izmantot konkrētu dāvanu, lai sasniegtu mērķi.</w:t>
      </w:r>
    </w:p>
    <w:p w14:paraId="72F30053" w14:textId="7E706767" w:rsidR="001F0054" w:rsidRPr="001F0054" w:rsidRDefault="001F0054" w:rsidP="001F0054">
      <w:pPr>
        <w:pStyle w:val="Prrafodelista"/>
        <w:numPr>
          <w:ilvl w:val="2"/>
          <w:numId w:val="1"/>
        </w:numPr>
        <w:rPr>
          <w:bCs/>
          <w:sz w:val="20"/>
          <w:szCs w:val="20"/>
          <w:lang w:val="es-ES_tradnl"/>
        </w:rPr>
      </w:pPr>
      <w:r w:rsidRPr="001F0054">
        <w:rPr>
          <w:bCs/>
          <w:sz w:val="20"/>
          <w:szCs w:val="20"/>
          <w:lang w:val="lv-LV"/>
        </w:rPr>
        <w:t>Dievs ir viens, bet katra</w:t>
      </w:r>
      <w:r>
        <w:rPr>
          <w:bCs/>
          <w:sz w:val="20"/>
          <w:szCs w:val="20"/>
          <w:lang w:val="lv-LV"/>
        </w:rPr>
        <w:t>i</w:t>
      </w:r>
      <w:r w:rsidRPr="001F0054">
        <w:rPr>
          <w:bCs/>
          <w:sz w:val="20"/>
          <w:szCs w:val="20"/>
          <w:lang w:val="lv-LV"/>
        </w:rPr>
        <w:t xml:space="preserve"> Dievības Personai ir sava loma. Tāpat arī draudze ir viena, bet katrai tās sastāvdaļai ir sava loma kā daļai no Kristus miesas šeit uz zemes (1. Kor. 12:12–13).</w:t>
      </w:r>
    </w:p>
    <w:p w14:paraId="6F606CE8" w14:textId="77777777" w:rsidR="001F0054" w:rsidRPr="001F0054" w:rsidRDefault="001F0054" w:rsidP="001F0054">
      <w:pPr>
        <w:pStyle w:val="Prrafodelista"/>
        <w:numPr>
          <w:ilvl w:val="2"/>
          <w:numId w:val="1"/>
        </w:numPr>
        <w:rPr>
          <w:bCs/>
          <w:sz w:val="20"/>
          <w:szCs w:val="20"/>
          <w:lang w:val="es-ES_tradnl"/>
        </w:rPr>
      </w:pPr>
      <w:r w:rsidRPr="001F0054">
        <w:rPr>
          <w:bCs/>
          <w:sz w:val="20"/>
          <w:szCs w:val="20"/>
          <w:lang w:val="lv-LV"/>
        </w:rPr>
        <w:t>Pāvils izmanto cilvēka ķermeņa salīdzinājumu ar draudzi, lai uzsvērtu vienotību daudzveidībā. Acīm piemīt redzes „dāvana”, bet ausīm — nē. Tomēr abas viena otru papildina, darbojoties kopā. Tāpat arī draudzē katrs veic savu darbu atbilstoši saņemtajām dāvanām (1. Kor. 12:28–30).</w:t>
      </w:r>
    </w:p>
    <w:p w14:paraId="613EEAC1" w14:textId="31AC3EB7" w:rsidR="001F0054" w:rsidRPr="001F0054" w:rsidRDefault="001F0054" w:rsidP="001F0054">
      <w:pPr>
        <w:pStyle w:val="Prrafodelista"/>
        <w:numPr>
          <w:ilvl w:val="2"/>
          <w:numId w:val="1"/>
        </w:numPr>
        <w:rPr>
          <w:bCs/>
          <w:sz w:val="20"/>
          <w:szCs w:val="20"/>
          <w:lang w:val="es-ES_tradnl"/>
        </w:rPr>
      </w:pPr>
      <w:r w:rsidRPr="001F0054">
        <w:rPr>
          <w:bCs/>
          <w:sz w:val="20"/>
          <w:szCs w:val="20"/>
          <w:lang w:val="lv-LV"/>
        </w:rPr>
        <w:t>Tas nozīmē, ka visi nepieciešami, neviens nav svarīgāks par citu. Visi rūpējas par viens otra labklājību. Visi strādā, un jāveicina draudzes vienotīb</w:t>
      </w:r>
      <w:r>
        <w:rPr>
          <w:bCs/>
          <w:sz w:val="20"/>
          <w:szCs w:val="20"/>
          <w:lang w:val="lv-LV"/>
        </w:rPr>
        <w:t>a</w:t>
      </w:r>
      <w:r w:rsidRPr="001F0054">
        <w:rPr>
          <w:bCs/>
          <w:sz w:val="20"/>
          <w:szCs w:val="20"/>
          <w:lang w:val="lv-LV"/>
        </w:rPr>
        <w:t xml:space="preserve"> (1. Kor. 12:15–27).</w:t>
      </w:r>
    </w:p>
    <w:p w14:paraId="549CB8C9" w14:textId="77777777" w:rsidR="001F0054" w:rsidRPr="001F0054" w:rsidRDefault="001F0054" w:rsidP="001F0054">
      <w:pPr>
        <w:pStyle w:val="Prrafodelista"/>
        <w:numPr>
          <w:ilvl w:val="0"/>
          <w:numId w:val="1"/>
        </w:numPr>
        <w:rPr>
          <w:b/>
          <w:bCs/>
          <w:sz w:val="20"/>
          <w:szCs w:val="20"/>
          <w:lang w:val="es-ES_tradnl"/>
        </w:rPr>
      </w:pPr>
      <w:r w:rsidRPr="001F0054">
        <w:rPr>
          <w:b/>
          <w:bCs/>
          <w:sz w:val="20"/>
          <w:szCs w:val="20"/>
          <w:lang w:val="lv-LV"/>
        </w:rPr>
        <w:t>Vienojošais elements</w:t>
      </w:r>
      <w:r w:rsidRPr="001F0054">
        <w:rPr>
          <w:b/>
          <w:bCs/>
          <w:sz w:val="20"/>
          <w:szCs w:val="20"/>
        </w:rPr>
        <w:t>:</w:t>
      </w:r>
    </w:p>
    <w:p w14:paraId="7604B386" w14:textId="77777777" w:rsidR="001F0054" w:rsidRPr="001F0054" w:rsidRDefault="001F0054" w:rsidP="001F0054">
      <w:pPr>
        <w:pStyle w:val="Prrafodelista"/>
        <w:numPr>
          <w:ilvl w:val="1"/>
          <w:numId w:val="1"/>
        </w:numPr>
        <w:rPr>
          <w:b/>
          <w:bCs/>
          <w:sz w:val="20"/>
          <w:szCs w:val="20"/>
          <w:lang w:val="es-ES_tradnl"/>
        </w:rPr>
      </w:pPr>
      <w:r w:rsidRPr="001F0054">
        <w:rPr>
          <w:b/>
          <w:bCs/>
          <w:sz w:val="20"/>
          <w:szCs w:val="20"/>
          <w:lang w:val="lv-LV"/>
        </w:rPr>
        <w:t>Mīlestības izcilība</w:t>
      </w:r>
      <w:r w:rsidRPr="001F0054">
        <w:rPr>
          <w:b/>
          <w:bCs/>
          <w:sz w:val="20"/>
          <w:szCs w:val="20"/>
        </w:rPr>
        <w:t>.</w:t>
      </w:r>
    </w:p>
    <w:p w14:paraId="06868535" w14:textId="77777777" w:rsidR="00CC5974" w:rsidRPr="00CC5974" w:rsidRDefault="00CC5974" w:rsidP="00CC5974">
      <w:pPr>
        <w:pStyle w:val="Prrafodelista"/>
        <w:numPr>
          <w:ilvl w:val="2"/>
          <w:numId w:val="1"/>
        </w:numPr>
        <w:rPr>
          <w:sz w:val="20"/>
          <w:szCs w:val="20"/>
          <w:lang w:val="es-ES_tradnl"/>
        </w:rPr>
      </w:pPr>
      <w:r w:rsidRPr="00CC5974">
        <w:rPr>
          <w:bCs/>
          <w:sz w:val="20"/>
          <w:szCs w:val="20"/>
          <w:lang w:val="lv-LV"/>
        </w:rPr>
        <w:t>Mīlestība nav dāvana, bet gan „izcils ceļš…” (1. Kor. 12:31). Tā ir Svētā Gara auglis ticīgā dzīvē (Gal. 5:22). Garīgās dāvanas var pienācīgi izmantot tikai mīlestībā.</w:t>
      </w:r>
    </w:p>
    <w:p w14:paraId="71B0FF51" w14:textId="77777777" w:rsidR="00CC5974" w:rsidRPr="00CC5974" w:rsidRDefault="00CC5974" w:rsidP="00CC5974">
      <w:pPr>
        <w:pStyle w:val="Prrafodelista"/>
        <w:numPr>
          <w:ilvl w:val="2"/>
          <w:numId w:val="1"/>
        </w:numPr>
        <w:rPr>
          <w:sz w:val="20"/>
          <w:szCs w:val="20"/>
          <w:lang w:val="lv-LV"/>
        </w:rPr>
      </w:pPr>
      <w:r w:rsidRPr="00CC5974">
        <w:rPr>
          <w:bCs/>
          <w:sz w:val="20"/>
          <w:szCs w:val="20"/>
          <w:lang w:val="lv-LV"/>
        </w:rPr>
        <w:t>Valodu dāvana bez mīlestības ir „skanošs metāls”. Pravietošanas, izpratnes un ticības dāvana bez mīlestības nav nekas. Ja visu savu mantu atdotu un ietu mocekļa nāvē, tad viss darītais bez mīlestības neko nepalīdz (1.Kor.13:1–3).</w:t>
      </w:r>
    </w:p>
    <w:p w14:paraId="23CE1454" w14:textId="03696EC2" w:rsidR="001F0054" w:rsidRPr="001F0054" w:rsidRDefault="001F0054" w:rsidP="001F0054">
      <w:pPr>
        <w:pStyle w:val="Prrafodelista"/>
        <w:numPr>
          <w:ilvl w:val="0"/>
          <w:numId w:val="1"/>
        </w:numPr>
        <w:rPr>
          <w:b/>
          <w:bCs/>
          <w:sz w:val="20"/>
          <w:szCs w:val="20"/>
          <w:lang w:val="es-ES_tradnl"/>
        </w:rPr>
      </w:pPr>
      <w:r w:rsidRPr="001F0054">
        <w:rPr>
          <w:b/>
          <w:bCs/>
          <w:sz w:val="20"/>
          <w:szCs w:val="20"/>
          <w:lang w:val="lv-LV"/>
        </w:rPr>
        <w:t>Īpašās dāvanas</w:t>
      </w:r>
      <w:r w:rsidRPr="001F0054">
        <w:rPr>
          <w:b/>
          <w:bCs/>
          <w:sz w:val="20"/>
          <w:szCs w:val="20"/>
        </w:rPr>
        <w:t>:</w:t>
      </w:r>
    </w:p>
    <w:p w14:paraId="530E8EA5" w14:textId="77777777" w:rsidR="00CC5974" w:rsidRPr="00CC5974" w:rsidRDefault="00CC5974" w:rsidP="00CC5974">
      <w:pPr>
        <w:pStyle w:val="Prrafodelista"/>
        <w:numPr>
          <w:ilvl w:val="1"/>
          <w:numId w:val="1"/>
        </w:numPr>
        <w:rPr>
          <w:b/>
          <w:bCs/>
          <w:sz w:val="20"/>
          <w:szCs w:val="20"/>
          <w:lang w:val="es-ES_tradnl"/>
        </w:rPr>
      </w:pPr>
      <w:r w:rsidRPr="00CC5974">
        <w:rPr>
          <w:b/>
          <w:bCs/>
          <w:sz w:val="20"/>
          <w:szCs w:val="20"/>
          <w:lang w:val="lv-LV"/>
        </w:rPr>
        <w:t>Valodu dāvana</w:t>
      </w:r>
      <w:r w:rsidRPr="00CC5974">
        <w:rPr>
          <w:b/>
          <w:bCs/>
          <w:sz w:val="20"/>
          <w:szCs w:val="20"/>
        </w:rPr>
        <w:t>.</w:t>
      </w:r>
    </w:p>
    <w:p w14:paraId="27148156" w14:textId="77777777" w:rsidR="00CC5974" w:rsidRPr="00CC5974" w:rsidRDefault="00CC5974" w:rsidP="00CC5974">
      <w:pPr>
        <w:pStyle w:val="Prrafodelista"/>
        <w:numPr>
          <w:ilvl w:val="2"/>
          <w:numId w:val="1"/>
        </w:numPr>
        <w:rPr>
          <w:sz w:val="20"/>
          <w:szCs w:val="20"/>
          <w:lang w:val="lv-LV"/>
        </w:rPr>
      </w:pPr>
      <w:r w:rsidRPr="00CC5974">
        <w:rPr>
          <w:bCs/>
          <w:sz w:val="20"/>
          <w:szCs w:val="20"/>
          <w:lang w:val="lv-LV"/>
        </w:rPr>
        <w:t xml:space="preserve">Pāvila uzsver valodas dāvanu un tās pareizu lietošanu. Varam izsecināt, ka Korintas draudzes locekļi to izlietoja nepareizi, radot </w:t>
      </w:r>
    </w:p>
    <w:p w14:paraId="58B28F37" w14:textId="77777777" w:rsidR="00CC5974" w:rsidRPr="00CC5974" w:rsidRDefault="00CC5974" w:rsidP="00CC5974">
      <w:pPr>
        <w:pStyle w:val="Prrafodelista"/>
        <w:numPr>
          <w:ilvl w:val="2"/>
          <w:numId w:val="1"/>
        </w:numPr>
        <w:rPr>
          <w:sz w:val="20"/>
          <w:szCs w:val="20"/>
          <w:lang w:val="es-ES_tradnl"/>
        </w:rPr>
      </w:pPr>
      <w:r w:rsidRPr="00CC5974">
        <w:rPr>
          <w:bCs/>
          <w:sz w:val="20"/>
          <w:szCs w:val="20"/>
          <w:lang w:val="lv-LV"/>
        </w:rPr>
        <w:t>Valodu dāvana ir spēja runāt cilvēku vai eņģeļu valodā, kas cilvēkam nav pazīstamas (1. Kor. 13:1). Ja klausītājam šī valoda nav pazīstama, tai ir nepieciešama tulkošana (Ap. d. 2:8; 1. Kor. 14:2, 13–14, 27–28).</w:t>
      </w:r>
    </w:p>
    <w:p w14:paraId="552D1C0D" w14:textId="77777777" w:rsidR="00CC5974" w:rsidRPr="00CC5974" w:rsidRDefault="00CC5974" w:rsidP="00CC5974">
      <w:pPr>
        <w:pStyle w:val="Prrafodelista"/>
        <w:numPr>
          <w:ilvl w:val="2"/>
          <w:numId w:val="1"/>
        </w:numPr>
        <w:rPr>
          <w:sz w:val="20"/>
          <w:szCs w:val="20"/>
          <w:lang w:val="es-ES_tradnl"/>
        </w:rPr>
      </w:pPr>
      <w:r w:rsidRPr="00CC5974">
        <w:rPr>
          <w:bCs/>
          <w:sz w:val="20"/>
          <w:szCs w:val="20"/>
          <w:lang w:val="lv-LV"/>
        </w:rPr>
        <w:t>Pāvila vēlme, lai visi runātu valodās, ir nepareizi interpretēta to cilvēku vidū, kuri uzskata, ka mums visiem ir jābūt šai dāvanai (1.Kor. 14:5).</w:t>
      </w:r>
    </w:p>
    <w:p w14:paraId="3E9A0E37" w14:textId="77777777" w:rsidR="00CC5974" w:rsidRPr="00CC5974" w:rsidRDefault="00CC5974" w:rsidP="00CC5974">
      <w:pPr>
        <w:pStyle w:val="Prrafodelista"/>
        <w:numPr>
          <w:ilvl w:val="2"/>
          <w:numId w:val="1"/>
        </w:numPr>
        <w:rPr>
          <w:sz w:val="20"/>
          <w:szCs w:val="20"/>
          <w:lang w:val="es-ES_tradnl"/>
        </w:rPr>
      </w:pPr>
      <w:r w:rsidRPr="00CC5974">
        <w:rPr>
          <w:bCs/>
          <w:sz w:val="20"/>
          <w:szCs w:val="20"/>
          <w:lang w:val="lv-LV"/>
        </w:rPr>
        <w:t>Patiesībā šī tiekšanās attiecas uz visām dāvanām (1. Kor. 14:1). Pāvils jau bija skaidri norādījis, ka „katram tiek dota īpaša Gara izpausme [dāvana] citu labā” (1. Kor. 12:7 NVI). Tādēļ ne visi saņem vienādas dāvanas.</w:t>
      </w:r>
    </w:p>
    <w:p w14:paraId="3B21E8EF" w14:textId="77777777" w:rsidR="00CC5974" w:rsidRPr="00CC5974" w:rsidRDefault="00CC5974" w:rsidP="00CC5974">
      <w:pPr>
        <w:pStyle w:val="Prrafodelista"/>
        <w:numPr>
          <w:ilvl w:val="1"/>
          <w:numId w:val="1"/>
        </w:numPr>
        <w:rPr>
          <w:b/>
          <w:bCs/>
          <w:sz w:val="20"/>
          <w:szCs w:val="20"/>
          <w:lang w:val="es-ES_tradnl"/>
        </w:rPr>
      </w:pPr>
      <w:r w:rsidRPr="00CC5974">
        <w:rPr>
          <w:b/>
          <w:bCs/>
          <w:sz w:val="20"/>
          <w:szCs w:val="20"/>
          <w:lang w:val="lv-LV"/>
        </w:rPr>
        <w:t>Pravietošanas dāvana</w:t>
      </w:r>
      <w:r w:rsidRPr="00CC5974">
        <w:rPr>
          <w:b/>
          <w:bCs/>
          <w:sz w:val="20"/>
          <w:szCs w:val="20"/>
        </w:rPr>
        <w:t>.</w:t>
      </w:r>
    </w:p>
    <w:p w14:paraId="5CA513F0" w14:textId="77777777" w:rsidR="00CC5974" w:rsidRPr="00CC5974" w:rsidRDefault="00CC5974" w:rsidP="00CC5974">
      <w:pPr>
        <w:pStyle w:val="Prrafodelista"/>
        <w:numPr>
          <w:ilvl w:val="2"/>
          <w:numId w:val="1"/>
        </w:numPr>
        <w:rPr>
          <w:sz w:val="20"/>
          <w:szCs w:val="20"/>
          <w:lang w:val="lv-LV"/>
        </w:rPr>
      </w:pPr>
      <w:r w:rsidRPr="00CC5974">
        <w:rPr>
          <w:bCs/>
          <w:sz w:val="20"/>
          <w:szCs w:val="20"/>
          <w:lang w:val="lv-LV"/>
        </w:rPr>
        <w:t>Mums nevajadzētu ierobežot praviešu dāvanas nozīmi tikai ar nākotnes notikumu paredzēšanu. Praviešu dāvanas galvenais mērķis ir stiprināt, pamudināt un mierināt (1. Kor. 14:3).</w:t>
      </w:r>
    </w:p>
    <w:p w14:paraId="43FAB40E" w14:textId="77777777" w:rsidR="00CC5974" w:rsidRPr="00CC5974" w:rsidRDefault="00CC5974" w:rsidP="00CC5974">
      <w:pPr>
        <w:pStyle w:val="Prrafodelista"/>
        <w:numPr>
          <w:ilvl w:val="2"/>
          <w:numId w:val="1"/>
        </w:numPr>
        <w:rPr>
          <w:sz w:val="20"/>
          <w:szCs w:val="20"/>
          <w:lang w:val="es-ES_tradnl"/>
        </w:rPr>
      </w:pPr>
      <w:r w:rsidRPr="00CC5974">
        <w:rPr>
          <w:bCs/>
          <w:sz w:val="20"/>
          <w:szCs w:val="20"/>
          <w:lang w:val="lv-LV"/>
        </w:rPr>
        <w:t>Pāvils šo dāvanu izceļ kā svarīgāku par citām (1. Kor. 14:1, 4, 22–25). Taču viņš arī mudina to lietot pareizi, lai neradītu neskaidrības: „Bet viss lai notiek pienācīgi un kārtīgi” (1. Kor. 14:40; sk. 1. Kor. 14:29–33).</w:t>
      </w:r>
    </w:p>
    <w:p w14:paraId="5230E6CC" w14:textId="77777777" w:rsidR="00CC5974" w:rsidRPr="00CC5974" w:rsidRDefault="00CC5974" w:rsidP="00CC5974">
      <w:pPr>
        <w:pStyle w:val="Prrafodelista"/>
        <w:numPr>
          <w:ilvl w:val="2"/>
          <w:numId w:val="1"/>
        </w:numPr>
        <w:rPr>
          <w:sz w:val="20"/>
          <w:szCs w:val="20"/>
          <w:lang w:val="es-ES_tradnl"/>
        </w:rPr>
      </w:pPr>
      <w:r w:rsidRPr="00CC5974">
        <w:rPr>
          <w:bCs/>
          <w:sz w:val="20"/>
          <w:szCs w:val="20"/>
          <w:lang w:val="lv-LV"/>
        </w:rPr>
        <w:t>Tā ir atlikuma draudzes raksturīgā dāvana, kas īpaši izpaudās Elenas G. Vaitas dzīvē un darbā (Atkl. 12:17; 19:10).</w:t>
      </w:r>
    </w:p>
    <w:p w14:paraId="03DA5D13" w14:textId="39130AF5" w:rsidR="00CC5974" w:rsidRPr="00CC5974" w:rsidRDefault="00CC5974" w:rsidP="00CC5974">
      <w:pPr>
        <w:pStyle w:val="Prrafodelista"/>
        <w:numPr>
          <w:ilvl w:val="2"/>
          <w:numId w:val="1"/>
        </w:numPr>
        <w:rPr>
          <w:sz w:val="20"/>
          <w:szCs w:val="20"/>
          <w:lang w:val="en-US"/>
        </w:rPr>
      </w:pPr>
      <w:r w:rsidRPr="00CC5974">
        <w:rPr>
          <w:bCs/>
          <w:sz w:val="20"/>
          <w:szCs w:val="20"/>
          <w:lang w:val="lv-LV"/>
        </w:rPr>
        <w:t xml:space="preserve"> Bet kā atpazīt patiesu pravieti?</w:t>
      </w:r>
    </w:p>
    <w:p w14:paraId="11CA59A1" w14:textId="77777777" w:rsidR="0048096F" w:rsidRPr="00CC5974" w:rsidRDefault="00CC5974" w:rsidP="00CC5974">
      <w:pPr>
        <w:pStyle w:val="Prrafodelista"/>
        <w:numPr>
          <w:ilvl w:val="3"/>
          <w:numId w:val="1"/>
        </w:numPr>
        <w:rPr>
          <w:sz w:val="20"/>
          <w:szCs w:val="20"/>
          <w:lang w:val="en-US"/>
        </w:rPr>
      </w:pPr>
      <w:r w:rsidRPr="00CC5974">
        <w:rPr>
          <w:bCs/>
          <w:sz w:val="20"/>
          <w:szCs w:val="20"/>
          <w:lang w:val="lv-LV"/>
        </w:rPr>
        <w:t>Paziņotie nākotnes notikumi – ja nav nosacīti – ir jāpiepildās (5. Moz. 18:22; Jer. 28:8–9; Jona 4:2)</w:t>
      </w:r>
    </w:p>
    <w:p w14:paraId="1ADD3F5F" w14:textId="77777777" w:rsidR="0048096F" w:rsidRPr="001B2D2A" w:rsidRDefault="00CC5974" w:rsidP="00CC5974">
      <w:pPr>
        <w:pStyle w:val="Prrafodelista"/>
        <w:numPr>
          <w:ilvl w:val="3"/>
          <w:numId w:val="1"/>
        </w:numPr>
        <w:rPr>
          <w:sz w:val="20"/>
          <w:szCs w:val="20"/>
          <w:lang w:val="en-US"/>
        </w:rPr>
      </w:pPr>
      <w:r w:rsidRPr="00CC5974">
        <w:rPr>
          <w:bCs/>
          <w:sz w:val="20"/>
          <w:szCs w:val="20"/>
          <w:lang w:val="lv-LV"/>
        </w:rPr>
        <w:t>Viņa vēstījumam jāsaskan ar iepriekšējo praviešu vēstījumu</w:t>
      </w:r>
    </w:p>
    <w:p w14:paraId="34D4D6BC" w14:textId="77777777" w:rsidR="0048096F" w:rsidRPr="00CC5974" w:rsidRDefault="00CC5974" w:rsidP="00CC5974">
      <w:pPr>
        <w:pStyle w:val="Prrafodelista"/>
        <w:numPr>
          <w:ilvl w:val="3"/>
          <w:numId w:val="1"/>
        </w:numPr>
        <w:rPr>
          <w:sz w:val="20"/>
          <w:szCs w:val="20"/>
          <w:lang w:val="es-ES_tradnl"/>
        </w:rPr>
      </w:pPr>
      <w:r w:rsidRPr="00CC5974">
        <w:rPr>
          <w:bCs/>
          <w:sz w:val="20"/>
          <w:szCs w:val="20"/>
          <w:lang w:val="pl-PL"/>
        </w:rPr>
        <w:t>(5. Moz. 13:1–3; Jes. 8:20)</w:t>
      </w:r>
    </w:p>
    <w:p w14:paraId="643EBF1D" w14:textId="77777777" w:rsidR="0048096F" w:rsidRPr="00CC5974" w:rsidRDefault="00CC5974" w:rsidP="00CC5974">
      <w:pPr>
        <w:pStyle w:val="Prrafodelista"/>
        <w:numPr>
          <w:ilvl w:val="3"/>
          <w:numId w:val="1"/>
        </w:numPr>
        <w:rPr>
          <w:sz w:val="20"/>
          <w:szCs w:val="20"/>
          <w:lang w:val="es-ES_tradnl"/>
        </w:rPr>
      </w:pPr>
      <w:r w:rsidRPr="00CC5974">
        <w:rPr>
          <w:bCs/>
          <w:sz w:val="20"/>
          <w:szCs w:val="20"/>
          <w:lang w:val="lv-LV"/>
        </w:rPr>
        <w:t>Ir jāliecina par Jēzus iemiesošanos  (1. Jņ. 4:1–3)</w:t>
      </w:r>
    </w:p>
    <w:p w14:paraId="5636AD0D" w14:textId="77777777" w:rsidR="00970CC0" w:rsidRPr="00CC5974" w:rsidRDefault="00CC5974" w:rsidP="00CC5974">
      <w:pPr>
        <w:pStyle w:val="Prrafodelista"/>
        <w:numPr>
          <w:ilvl w:val="3"/>
          <w:numId w:val="1"/>
        </w:numPr>
        <w:rPr>
          <w:sz w:val="20"/>
          <w:szCs w:val="20"/>
          <w:lang w:val="es-ES_tradnl"/>
        </w:rPr>
      </w:pPr>
      <w:r w:rsidRPr="00CC5974">
        <w:rPr>
          <w:bCs/>
          <w:sz w:val="20"/>
          <w:szCs w:val="20"/>
          <w:lang w:val="lv-LV"/>
        </w:rPr>
        <w:t xml:space="preserve">Viņas dzīve bija saskaņā ar Bībeles vēstījumu, ko viņa sludināja </w:t>
      </w:r>
      <w:r w:rsidRPr="00CC5974">
        <w:rPr>
          <w:bCs/>
          <w:sz w:val="20"/>
          <w:szCs w:val="20"/>
        </w:rPr>
        <w:t xml:space="preserve"> (Mt. 7:15-20)</w:t>
      </w:r>
    </w:p>
    <w:sectPr w:rsidR="00970CC0" w:rsidRPr="00CC5974" w:rsidSect="002A0446">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3BE1"/>
    <w:multiLevelType w:val="hybridMultilevel"/>
    <w:tmpl w:val="D8A498CE"/>
    <w:lvl w:ilvl="0" w:tplc="AE0C8572">
      <w:start w:val="1"/>
      <w:numFmt w:val="bullet"/>
      <w:lvlText w:val="•"/>
      <w:lvlJc w:val="left"/>
      <w:pPr>
        <w:tabs>
          <w:tab w:val="num" w:pos="720"/>
        </w:tabs>
        <w:ind w:left="720" w:hanging="360"/>
      </w:pPr>
      <w:rPr>
        <w:rFonts w:ascii="Times New Roman" w:hAnsi="Times New Roman" w:hint="default"/>
      </w:rPr>
    </w:lvl>
    <w:lvl w:ilvl="1" w:tplc="D6C250FA" w:tentative="1">
      <w:start w:val="1"/>
      <w:numFmt w:val="bullet"/>
      <w:lvlText w:val="•"/>
      <w:lvlJc w:val="left"/>
      <w:pPr>
        <w:tabs>
          <w:tab w:val="num" w:pos="1440"/>
        </w:tabs>
        <w:ind w:left="1440" w:hanging="360"/>
      </w:pPr>
      <w:rPr>
        <w:rFonts w:ascii="Times New Roman" w:hAnsi="Times New Roman" w:hint="default"/>
      </w:rPr>
    </w:lvl>
    <w:lvl w:ilvl="2" w:tplc="DB26F5D2" w:tentative="1">
      <w:start w:val="1"/>
      <w:numFmt w:val="bullet"/>
      <w:lvlText w:val="•"/>
      <w:lvlJc w:val="left"/>
      <w:pPr>
        <w:tabs>
          <w:tab w:val="num" w:pos="2160"/>
        </w:tabs>
        <w:ind w:left="2160" w:hanging="360"/>
      </w:pPr>
      <w:rPr>
        <w:rFonts w:ascii="Times New Roman" w:hAnsi="Times New Roman" w:hint="default"/>
      </w:rPr>
    </w:lvl>
    <w:lvl w:ilvl="3" w:tplc="19680BD0" w:tentative="1">
      <w:start w:val="1"/>
      <w:numFmt w:val="bullet"/>
      <w:lvlText w:val="•"/>
      <w:lvlJc w:val="left"/>
      <w:pPr>
        <w:tabs>
          <w:tab w:val="num" w:pos="2880"/>
        </w:tabs>
        <w:ind w:left="2880" w:hanging="360"/>
      </w:pPr>
      <w:rPr>
        <w:rFonts w:ascii="Times New Roman" w:hAnsi="Times New Roman" w:hint="default"/>
      </w:rPr>
    </w:lvl>
    <w:lvl w:ilvl="4" w:tplc="A502D244" w:tentative="1">
      <w:start w:val="1"/>
      <w:numFmt w:val="bullet"/>
      <w:lvlText w:val="•"/>
      <w:lvlJc w:val="left"/>
      <w:pPr>
        <w:tabs>
          <w:tab w:val="num" w:pos="3600"/>
        </w:tabs>
        <w:ind w:left="3600" w:hanging="360"/>
      </w:pPr>
      <w:rPr>
        <w:rFonts w:ascii="Times New Roman" w:hAnsi="Times New Roman" w:hint="default"/>
      </w:rPr>
    </w:lvl>
    <w:lvl w:ilvl="5" w:tplc="2C0AC59E" w:tentative="1">
      <w:start w:val="1"/>
      <w:numFmt w:val="bullet"/>
      <w:lvlText w:val="•"/>
      <w:lvlJc w:val="left"/>
      <w:pPr>
        <w:tabs>
          <w:tab w:val="num" w:pos="4320"/>
        </w:tabs>
        <w:ind w:left="4320" w:hanging="360"/>
      </w:pPr>
      <w:rPr>
        <w:rFonts w:ascii="Times New Roman" w:hAnsi="Times New Roman" w:hint="default"/>
      </w:rPr>
    </w:lvl>
    <w:lvl w:ilvl="6" w:tplc="CFD22678" w:tentative="1">
      <w:start w:val="1"/>
      <w:numFmt w:val="bullet"/>
      <w:lvlText w:val="•"/>
      <w:lvlJc w:val="left"/>
      <w:pPr>
        <w:tabs>
          <w:tab w:val="num" w:pos="5040"/>
        </w:tabs>
        <w:ind w:left="5040" w:hanging="360"/>
      </w:pPr>
      <w:rPr>
        <w:rFonts w:ascii="Times New Roman" w:hAnsi="Times New Roman" w:hint="default"/>
      </w:rPr>
    </w:lvl>
    <w:lvl w:ilvl="7" w:tplc="27F2B4E0" w:tentative="1">
      <w:start w:val="1"/>
      <w:numFmt w:val="bullet"/>
      <w:lvlText w:val="•"/>
      <w:lvlJc w:val="left"/>
      <w:pPr>
        <w:tabs>
          <w:tab w:val="num" w:pos="5760"/>
        </w:tabs>
        <w:ind w:left="5760" w:hanging="360"/>
      </w:pPr>
      <w:rPr>
        <w:rFonts w:ascii="Times New Roman" w:hAnsi="Times New Roman" w:hint="default"/>
      </w:rPr>
    </w:lvl>
    <w:lvl w:ilvl="8" w:tplc="8F7292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A635AF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30E3D29"/>
    <w:multiLevelType w:val="multilevel"/>
    <w:tmpl w:val="496C1F7C"/>
    <w:lvl w:ilvl="0">
      <w:start w:val="1"/>
      <w:numFmt w:val="bullet"/>
      <w:lvlText w:val="—"/>
      <w:lvlJc w:val="left"/>
      <w:pPr>
        <w:ind w:left="1068" w:hanging="360"/>
      </w:pPr>
      <w:rPr>
        <w:rFonts w:ascii="Calibri" w:hAnsi="Calibri" w:hint="default"/>
      </w:rPr>
    </w:lvl>
    <w:lvl w:ilvl="1">
      <w:start w:val="1"/>
      <w:numFmt w:val="bullet"/>
      <w:lvlRestart w:val="0"/>
      <w:lvlText w:val=""/>
      <w:lvlJc w:val="left"/>
      <w:pPr>
        <w:ind w:left="1428" w:hanging="360"/>
      </w:pPr>
      <w:rPr>
        <w:rFonts w:ascii="Wingdings" w:hAnsi="Wingdings" w:hint="default"/>
      </w:rPr>
    </w:lvl>
    <w:lvl w:ilvl="2">
      <w:start w:val="1"/>
      <w:numFmt w:val="bullet"/>
      <w:lvlText w:val="—"/>
      <w:lvlJc w:val="left"/>
      <w:pPr>
        <w:ind w:left="1788" w:hanging="360"/>
      </w:pPr>
      <w:rPr>
        <w:rFonts w:ascii="Calibri" w:hAnsi="Calibri"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16cid:durableId="1790127608">
    <w:abstractNumId w:val="1"/>
  </w:num>
  <w:num w:numId="2" w16cid:durableId="491333251">
    <w:abstractNumId w:val="2"/>
  </w:num>
  <w:num w:numId="3" w16cid:durableId="62908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BE"/>
    <w:rsid w:val="00004746"/>
    <w:rsid w:val="000B2AC6"/>
    <w:rsid w:val="000B440E"/>
    <w:rsid w:val="0019283C"/>
    <w:rsid w:val="001B2D2A"/>
    <w:rsid w:val="001E4AA8"/>
    <w:rsid w:val="001F0054"/>
    <w:rsid w:val="002A0446"/>
    <w:rsid w:val="003036B8"/>
    <w:rsid w:val="00395C43"/>
    <w:rsid w:val="003D5E96"/>
    <w:rsid w:val="003F65FF"/>
    <w:rsid w:val="0044563A"/>
    <w:rsid w:val="0048096F"/>
    <w:rsid w:val="004D5CB2"/>
    <w:rsid w:val="004F4301"/>
    <w:rsid w:val="005C3DAD"/>
    <w:rsid w:val="006B286A"/>
    <w:rsid w:val="00711123"/>
    <w:rsid w:val="00822444"/>
    <w:rsid w:val="008349BC"/>
    <w:rsid w:val="00970CC0"/>
    <w:rsid w:val="00AB406A"/>
    <w:rsid w:val="00BA3EAE"/>
    <w:rsid w:val="00C22FAD"/>
    <w:rsid w:val="00C46A68"/>
    <w:rsid w:val="00CC5974"/>
    <w:rsid w:val="00D1283E"/>
    <w:rsid w:val="00D170BE"/>
    <w:rsid w:val="00DE22EB"/>
    <w:rsid w:val="00EF3B6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BF57"/>
  <w15:docId w15:val="{CB367952-33E2-49F6-8A4E-D95296E5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17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0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0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0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0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0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0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0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170B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170B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170B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170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170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170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170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170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170B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1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0B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170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0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170BE"/>
    <w:pPr>
      <w:spacing w:before="160"/>
      <w:jc w:val="center"/>
    </w:pPr>
    <w:rPr>
      <w:i/>
      <w:iCs/>
      <w:color w:val="404040" w:themeColor="text1" w:themeTint="BF"/>
    </w:rPr>
  </w:style>
  <w:style w:type="character" w:customStyle="1" w:styleId="CitaCar">
    <w:name w:val="Cita Car"/>
    <w:basedOn w:val="Fuentedeprrafopredeter"/>
    <w:link w:val="Cita"/>
    <w:uiPriority w:val="29"/>
    <w:rsid w:val="00D170BE"/>
    <w:rPr>
      <w:i/>
      <w:iCs/>
      <w:color w:val="404040" w:themeColor="text1" w:themeTint="BF"/>
      <w:kern w:val="0"/>
      <w:sz w:val="24"/>
      <w14:ligatures w14:val="none"/>
    </w:rPr>
  </w:style>
  <w:style w:type="paragraph" w:styleId="Prrafodelista">
    <w:name w:val="List Paragraph"/>
    <w:basedOn w:val="Normal"/>
    <w:uiPriority w:val="34"/>
    <w:qFormat/>
    <w:rsid w:val="00D170BE"/>
    <w:pPr>
      <w:ind w:left="720"/>
      <w:contextualSpacing/>
    </w:pPr>
  </w:style>
  <w:style w:type="character" w:styleId="nfasisintenso">
    <w:name w:val="Intense Emphasis"/>
    <w:basedOn w:val="Fuentedeprrafopredeter"/>
    <w:uiPriority w:val="21"/>
    <w:qFormat/>
    <w:rsid w:val="00D170BE"/>
    <w:rPr>
      <w:i/>
      <w:iCs/>
      <w:color w:val="0F4761" w:themeColor="accent1" w:themeShade="BF"/>
    </w:rPr>
  </w:style>
  <w:style w:type="paragraph" w:styleId="Citadestacada">
    <w:name w:val="Intense Quote"/>
    <w:basedOn w:val="Normal"/>
    <w:next w:val="Normal"/>
    <w:link w:val="CitadestacadaCar"/>
    <w:uiPriority w:val="30"/>
    <w:qFormat/>
    <w:rsid w:val="00D1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0BE"/>
    <w:rPr>
      <w:i/>
      <w:iCs/>
      <w:color w:val="0F4761" w:themeColor="accent1" w:themeShade="BF"/>
      <w:kern w:val="0"/>
      <w:sz w:val="24"/>
      <w14:ligatures w14:val="none"/>
    </w:rPr>
  </w:style>
  <w:style w:type="character" w:styleId="Referenciaintensa">
    <w:name w:val="Intense Reference"/>
    <w:basedOn w:val="Fuentedeprrafopredeter"/>
    <w:uiPriority w:val="32"/>
    <w:qFormat/>
    <w:rsid w:val="00D170BE"/>
    <w:rPr>
      <w:b/>
      <w:bCs/>
      <w:smallCaps/>
      <w:color w:val="0F4761" w:themeColor="accent1" w:themeShade="BF"/>
      <w:spacing w:val="5"/>
    </w:rPr>
  </w:style>
  <w:style w:type="paragraph" w:styleId="NormalWeb">
    <w:name w:val="Normal (Web)"/>
    <w:basedOn w:val="Normal"/>
    <w:uiPriority w:val="99"/>
    <w:semiHidden/>
    <w:unhideWhenUsed/>
    <w:rsid w:val="0044563A"/>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853">
      <w:bodyDiv w:val="1"/>
      <w:marLeft w:val="0"/>
      <w:marRight w:val="0"/>
      <w:marTop w:val="0"/>
      <w:marBottom w:val="0"/>
      <w:divBdr>
        <w:top w:val="none" w:sz="0" w:space="0" w:color="auto"/>
        <w:left w:val="none" w:sz="0" w:space="0" w:color="auto"/>
        <w:bottom w:val="none" w:sz="0" w:space="0" w:color="auto"/>
        <w:right w:val="none" w:sz="0" w:space="0" w:color="auto"/>
      </w:divBdr>
    </w:div>
    <w:div w:id="350494080">
      <w:bodyDiv w:val="1"/>
      <w:marLeft w:val="0"/>
      <w:marRight w:val="0"/>
      <w:marTop w:val="0"/>
      <w:marBottom w:val="0"/>
      <w:divBdr>
        <w:top w:val="none" w:sz="0" w:space="0" w:color="auto"/>
        <w:left w:val="none" w:sz="0" w:space="0" w:color="auto"/>
        <w:bottom w:val="none" w:sz="0" w:space="0" w:color="auto"/>
        <w:right w:val="none" w:sz="0" w:space="0" w:color="auto"/>
      </w:divBdr>
      <w:divsChild>
        <w:div w:id="362288766">
          <w:marLeft w:val="547"/>
          <w:marRight w:val="0"/>
          <w:marTop w:val="0"/>
          <w:marBottom w:val="0"/>
          <w:divBdr>
            <w:top w:val="none" w:sz="0" w:space="0" w:color="auto"/>
            <w:left w:val="none" w:sz="0" w:space="0" w:color="auto"/>
            <w:bottom w:val="none" w:sz="0" w:space="0" w:color="auto"/>
            <w:right w:val="none" w:sz="0" w:space="0" w:color="auto"/>
          </w:divBdr>
        </w:div>
        <w:div w:id="658658422">
          <w:marLeft w:val="547"/>
          <w:marRight w:val="0"/>
          <w:marTop w:val="0"/>
          <w:marBottom w:val="0"/>
          <w:divBdr>
            <w:top w:val="none" w:sz="0" w:space="0" w:color="auto"/>
            <w:left w:val="none" w:sz="0" w:space="0" w:color="auto"/>
            <w:bottom w:val="none" w:sz="0" w:space="0" w:color="auto"/>
            <w:right w:val="none" w:sz="0" w:space="0" w:color="auto"/>
          </w:divBdr>
        </w:div>
        <w:div w:id="867959315">
          <w:marLeft w:val="547"/>
          <w:marRight w:val="0"/>
          <w:marTop w:val="0"/>
          <w:marBottom w:val="0"/>
          <w:divBdr>
            <w:top w:val="none" w:sz="0" w:space="0" w:color="auto"/>
            <w:left w:val="none" w:sz="0" w:space="0" w:color="auto"/>
            <w:bottom w:val="none" w:sz="0" w:space="0" w:color="auto"/>
            <w:right w:val="none" w:sz="0" w:space="0" w:color="auto"/>
          </w:divBdr>
        </w:div>
        <w:div w:id="1857694898">
          <w:marLeft w:val="547"/>
          <w:marRight w:val="0"/>
          <w:marTop w:val="0"/>
          <w:marBottom w:val="0"/>
          <w:divBdr>
            <w:top w:val="none" w:sz="0" w:space="0" w:color="auto"/>
            <w:left w:val="none" w:sz="0" w:space="0" w:color="auto"/>
            <w:bottom w:val="none" w:sz="0" w:space="0" w:color="auto"/>
            <w:right w:val="none" w:sz="0" w:space="0" w:color="auto"/>
          </w:divBdr>
        </w:div>
        <w:div w:id="1488476794">
          <w:marLeft w:val="547"/>
          <w:marRight w:val="0"/>
          <w:marTop w:val="0"/>
          <w:marBottom w:val="0"/>
          <w:divBdr>
            <w:top w:val="none" w:sz="0" w:space="0" w:color="auto"/>
            <w:left w:val="none" w:sz="0" w:space="0" w:color="auto"/>
            <w:bottom w:val="none" w:sz="0" w:space="0" w:color="auto"/>
            <w:right w:val="none" w:sz="0" w:space="0" w:color="auto"/>
          </w:divBdr>
        </w:div>
      </w:divsChild>
    </w:div>
    <w:div w:id="431509908">
      <w:bodyDiv w:val="1"/>
      <w:marLeft w:val="0"/>
      <w:marRight w:val="0"/>
      <w:marTop w:val="0"/>
      <w:marBottom w:val="0"/>
      <w:divBdr>
        <w:top w:val="none" w:sz="0" w:space="0" w:color="auto"/>
        <w:left w:val="none" w:sz="0" w:space="0" w:color="auto"/>
        <w:bottom w:val="none" w:sz="0" w:space="0" w:color="auto"/>
        <w:right w:val="none" w:sz="0" w:space="0" w:color="auto"/>
      </w:divBdr>
    </w:div>
    <w:div w:id="576861386">
      <w:bodyDiv w:val="1"/>
      <w:marLeft w:val="0"/>
      <w:marRight w:val="0"/>
      <w:marTop w:val="0"/>
      <w:marBottom w:val="0"/>
      <w:divBdr>
        <w:top w:val="none" w:sz="0" w:space="0" w:color="auto"/>
        <w:left w:val="none" w:sz="0" w:space="0" w:color="auto"/>
        <w:bottom w:val="none" w:sz="0" w:space="0" w:color="auto"/>
        <w:right w:val="none" w:sz="0" w:space="0" w:color="auto"/>
      </w:divBdr>
    </w:div>
    <w:div w:id="684135204">
      <w:bodyDiv w:val="1"/>
      <w:marLeft w:val="0"/>
      <w:marRight w:val="0"/>
      <w:marTop w:val="0"/>
      <w:marBottom w:val="0"/>
      <w:divBdr>
        <w:top w:val="none" w:sz="0" w:space="0" w:color="auto"/>
        <w:left w:val="none" w:sz="0" w:space="0" w:color="auto"/>
        <w:bottom w:val="none" w:sz="0" w:space="0" w:color="auto"/>
        <w:right w:val="none" w:sz="0" w:space="0" w:color="auto"/>
      </w:divBdr>
    </w:div>
    <w:div w:id="845628753">
      <w:bodyDiv w:val="1"/>
      <w:marLeft w:val="0"/>
      <w:marRight w:val="0"/>
      <w:marTop w:val="0"/>
      <w:marBottom w:val="0"/>
      <w:divBdr>
        <w:top w:val="none" w:sz="0" w:space="0" w:color="auto"/>
        <w:left w:val="none" w:sz="0" w:space="0" w:color="auto"/>
        <w:bottom w:val="none" w:sz="0" w:space="0" w:color="auto"/>
        <w:right w:val="none" w:sz="0" w:space="0" w:color="auto"/>
      </w:divBdr>
    </w:div>
    <w:div w:id="866255449">
      <w:bodyDiv w:val="1"/>
      <w:marLeft w:val="0"/>
      <w:marRight w:val="0"/>
      <w:marTop w:val="0"/>
      <w:marBottom w:val="0"/>
      <w:divBdr>
        <w:top w:val="none" w:sz="0" w:space="0" w:color="auto"/>
        <w:left w:val="none" w:sz="0" w:space="0" w:color="auto"/>
        <w:bottom w:val="none" w:sz="0" w:space="0" w:color="auto"/>
        <w:right w:val="none" w:sz="0" w:space="0" w:color="auto"/>
      </w:divBdr>
    </w:div>
    <w:div w:id="913053912">
      <w:bodyDiv w:val="1"/>
      <w:marLeft w:val="0"/>
      <w:marRight w:val="0"/>
      <w:marTop w:val="0"/>
      <w:marBottom w:val="0"/>
      <w:divBdr>
        <w:top w:val="none" w:sz="0" w:space="0" w:color="auto"/>
        <w:left w:val="none" w:sz="0" w:space="0" w:color="auto"/>
        <w:bottom w:val="none" w:sz="0" w:space="0" w:color="auto"/>
        <w:right w:val="none" w:sz="0" w:space="0" w:color="auto"/>
      </w:divBdr>
    </w:div>
    <w:div w:id="1009717769">
      <w:bodyDiv w:val="1"/>
      <w:marLeft w:val="0"/>
      <w:marRight w:val="0"/>
      <w:marTop w:val="0"/>
      <w:marBottom w:val="0"/>
      <w:divBdr>
        <w:top w:val="none" w:sz="0" w:space="0" w:color="auto"/>
        <w:left w:val="none" w:sz="0" w:space="0" w:color="auto"/>
        <w:bottom w:val="none" w:sz="0" w:space="0" w:color="auto"/>
        <w:right w:val="none" w:sz="0" w:space="0" w:color="auto"/>
      </w:divBdr>
    </w:div>
    <w:div w:id="1042710205">
      <w:bodyDiv w:val="1"/>
      <w:marLeft w:val="0"/>
      <w:marRight w:val="0"/>
      <w:marTop w:val="0"/>
      <w:marBottom w:val="0"/>
      <w:divBdr>
        <w:top w:val="none" w:sz="0" w:space="0" w:color="auto"/>
        <w:left w:val="none" w:sz="0" w:space="0" w:color="auto"/>
        <w:bottom w:val="none" w:sz="0" w:space="0" w:color="auto"/>
        <w:right w:val="none" w:sz="0" w:space="0" w:color="auto"/>
      </w:divBdr>
    </w:div>
    <w:div w:id="1125123228">
      <w:bodyDiv w:val="1"/>
      <w:marLeft w:val="0"/>
      <w:marRight w:val="0"/>
      <w:marTop w:val="0"/>
      <w:marBottom w:val="0"/>
      <w:divBdr>
        <w:top w:val="none" w:sz="0" w:space="0" w:color="auto"/>
        <w:left w:val="none" w:sz="0" w:space="0" w:color="auto"/>
        <w:bottom w:val="none" w:sz="0" w:space="0" w:color="auto"/>
        <w:right w:val="none" w:sz="0" w:space="0" w:color="auto"/>
      </w:divBdr>
    </w:div>
    <w:div w:id="1328705812">
      <w:bodyDiv w:val="1"/>
      <w:marLeft w:val="0"/>
      <w:marRight w:val="0"/>
      <w:marTop w:val="0"/>
      <w:marBottom w:val="0"/>
      <w:divBdr>
        <w:top w:val="none" w:sz="0" w:space="0" w:color="auto"/>
        <w:left w:val="none" w:sz="0" w:space="0" w:color="auto"/>
        <w:bottom w:val="none" w:sz="0" w:space="0" w:color="auto"/>
        <w:right w:val="none" w:sz="0" w:space="0" w:color="auto"/>
      </w:divBdr>
    </w:div>
    <w:div w:id="1399137053">
      <w:bodyDiv w:val="1"/>
      <w:marLeft w:val="0"/>
      <w:marRight w:val="0"/>
      <w:marTop w:val="0"/>
      <w:marBottom w:val="0"/>
      <w:divBdr>
        <w:top w:val="none" w:sz="0" w:space="0" w:color="auto"/>
        <w:left w:val="none" w:sz="0" w:space="0" w:color="auto"/>
        <w:bottom w:val="none" w:sz="0" w:space="0" w:color="auto"/>
        <w:right w:val="none" w:sz="0" w:space="0" w:color="auto"/>
      </w:divBdr>
    </w:div>
    <w:div w:id="1466780274">
      <w:bodyDiv w:val="1"/>
      <w:marLeft w:val="0"/>
      <w:marRight w:val="0"/>
      <w:marTop w:val="0"/>
      <w:marBottom w:val="0"/>
      <w:divBdr>
        <w:top w:val="none" w:sz="0" w:space="0" w:color="auto"/>
        <w:left w:val="none" w:sz="0" w:space="0" w:color="auto"/>
        <w:bottom w:val="none" w:sz="0" w:space="0" w:color="auto"/>
        <w:right w:val="none" w:sz="0" w:space="0" w:color="auto"/>
      </w:divBdr>
    </w:div>
    <w:div w:id="1903444745">
      <w:bodyDiv w:val="1"/>
      <w:marLeft w:val="0"/>
      <w:marRight w:val="0"/>
      <w:marTop w:val="0"/>
      <w:marBottom w:val="0"/>
      <w:divBdr>
        <w:top w:val="none" w:sz="0" w:space="0" w:color="auto"/>
        <w:left w:val="none" w:sz="0" w:space="0" w:color="auto"/>
        <w:bottom w:val="none" w:sz="0" w:space="0" w:color="auto"/>
        <w:right w:val="none" w:sz="0" w:space="0" w:color="auto"/>
      </w:divBdr>
    </w:div>
    <w:div w:id="2027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3086</Characters>
  <Application>Microsoft Office Word</Application>
  <DocSecurity>0</DocSecurity>
  <Lines>25</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2026-07-13T06:49:00Z</dcterms:created>
  <dcterms:modified xsi:type="dcterms:W3CDTF">2026-07-13T06:49:00Z</dcterms:modified>
</cp:coreProperties>
</file>