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56C6E" w14:textId="77777777" w:rsidR="00D170BE" w:rsidRPr="00F51406" w:rsidRDefault="00D170BE" w:rsidP="00D170BE">
      <w:pPr>
        <w:pStyle w:val="Prrafodelista"/>
        <w:numPr>
          <w:ilvl w:val="0"/>
          <w:numId w:val="1"/>
        </w:numPr>
        <w:rPr>
          <w:b/>
          <w:bCs/>
          <w:sz w:val="20"/>
          <w:szCs w:val="20"/>
        </w:rPr>
      </w:pPr>
      <w:r w:rsidRPr="00F51406">
        <w:rPr>
          <w:b/>
          <w:bCs/>
          <w:sz w:val="20"/>
          <w:szCs w:val="20"/>
        </w:rPr>
        <w:t>Spiritual gifts:</w:t>
      </w:r>
    </w:p>
    <w:p w14:paraId="292D7E52" w14:textId="77777777" w:rsidR="00D170BE" w:rsidRPr="00F51406" w:rsidRDefault="00D170BE" w:rsidP="00D170BE">
      <w:pPr>
        <w:pStyle w:val="Prrafodelista"/>
        <w:numPr>
          <w:ilvl w:val="1"/>
          <w:numId w:val="1"/>
        </w:numPr>
        <w:rPr>
          <w:b/>
          <w:bCs/>
          <w:sz w:val="20"/>
          <w:szCs w:val="20"/>
        </w:rPr>
      </w:pPr>
      <w:r w:rsidRPr="00F51406">
        <w:rPr>
          <w:b/>
          <w:bCs/>
          <w:sz w:val="20"/>
          <w:szCs w:val="20"/>
        </w:rPr>
        <w:t>Many gifts, one Giver.</w:t>
      </w:r>
    </w:p>
    <w:p w14:paraId="3607945B" w14:textId="7801CF89" w:rsidR="0044563A" w:rsidRPr="00F51406" w:rsidRDefault="0044563A" w:rsidP="0044563A">
      <w:pPr>
        <w:pStyle w:val="Prrafodelista"/>
        <w:numPr>
          <w:ilvl w:val="2"/>
          <w:numId w:val="1"/>
        </w:numPr>
        <w:rPr>
          <w:sz w:val="20"/>
          <w:szCs w:val="20"/>
        </w:rPr>
      </w:pPr>
      <w:r w:rsidRPr="00F51406">
        <w:rPr>
          <w:sz w:val="20"/>
          <w:szCs w:val="20"/>
        </w:rPr>
        <w:t>Who gives spiritual gifts? (1 Cor. 12:4-6)</w:t>
      </w:r>
    </w:p>
    <w:tbl>
      <w:tblPr>
        <w:tblW w:w="10309" w:type="dxa"/>
        <w:tblCellMar>
          <w:left w:w="0" w:type="dxa"/>
          <w:right w:w="0" w:type="dxa"/>
        </w:tblCellMar>
        <w:tblLook w:val="0400" w:firstRow="0" w:lastRow="0" w:firstColumn="0" w:lastColumn="0" w:noHBand="0" w:noVBand="1"/>
      </w:tblPr>
      <w:tblGrid>
        <w:gridCol w:w="1691"/>
        <w:gridCol w:w="2835"/>
        <w:gridCol w:w="1560"/>
        <w:gridCol w:w="1842"/>
        <w:gridCol w:w="2381"/>
      </w:tblGrid>
      <w:tr w:rsidR="00F51406" w:rsidRPr="00F51406" w14:paraId="0BABB080" w14:textId="77777777" w:rsidTr="00F51406">
        <w:trPr>
          <w:trHeight w:val="238"/>
        </w:trPr>
        <w:tc>
          <w:tcPr>
            <w:tcW w:w="1691" w:type="dxa"/>
            <w:tcBorders>
              <w:top w:val="single" w:sz="8" w:space="0" w:color="7F4D00"/>
              <w:left w:val="single" w:sz="8" w:space="0" w:color="7F4D00"/>
              <w:bottom w:val="single" w:sz="8" w:space="0" w:color="7F4D00"/>
              <w:right w:val="single" w:sz="8" w:space="0" w:color="7F4D00"/>
            </w:tcBorders>
            <w:shd w:val="clear" w:color="auto" w:fill="FFD699"/>
            <w:tcMar>
              <w:top w:w="72" w:type="dxa"/>
              <w:left w:w="144" w:type="dxa"/>
              <w:bottom w:w="72" w:type="dxa"/>
              <w:right w:w="144" w:type="dxa"/>
            </w:tcMar>
            <w:hideMark/>
          </w:tcPr>
          <w:p w14:paraId="14DC7771" w14:textId="77777777" w:rsidR="00F51406" w:rsidRPr="00F51406" w:rsidRDefault="00F51406" w:rsidP="00F51406">
            <w:pPr>
              <w:spacing w:after="0" w:line="240" w:lineRule="auto"/>
              <w:rPr>
                <w:rFonts w:ascii="Arial" w:eastAsia="Times New Roman" w:hAnsi="Arial" w:cs="Arial"/>
                <w:sz w:val="20"/>
                <w:szCs w:val="20"/>
                <w:lang w:eastAsia="es-ES"/>
              </w:rPr>
            </w:pPr>
            <w:r w:rsidRPr="00F51406">
              <w:rPr>
                <w:rFonts w:ascii="Aptos" w:eastAsia="Times New Roman" w:hAnsi="Aptos" w:cs="Arial"/>
                <w:b/>
                <w:bCs/>
                <w:color w:val="000000"/>
                <w:kern w:val="24"/>
                <w:sz w:val="20"/>
                <w:szCs w:val="20"/>
                <w:lang w:eastAsia="es-ES"/>
              </w:rPr>
              <w:t>1 Cor. 12:4</w:t>
            </w:r>
          </w:p>
        </w:tc>
        <w:tc>
          <w:tcPr>
            <w:tcW w:w="2835" w:type="dxa"/>
            <w:vMerge w:val="restart"/>
            <w:tcBorders>
              <w:top w:val="single" w:sz="8" w:space="0" w:color="000000"/>
              <w:left w:val="single" w:sz="8" w:space="0" w:color="7F4D00"/>
              <w:bottom w:val="single" w:sz="8" w:space="0" w:color="000000"/>
              <w:right w:val="single" w:sz="8" w:space="0" w:color="FF5050"/>
            </w:tcBorders>
            <w:shd w:val="clear" w:color="auto" w:fill="FFFFC2"/>
            <w:tcMar>
              <w:top w:w="72" w:type="dxa"/>
              <w:left w:w="144" w:type="dxa"/>
              <w:bottom w:w="72" w:type="dxa"/>
              <w:right w:w="144" w:type="dxa"/>
            </w:tcMar>
            <w:vAlign w:val="center"/>
            <w:hideMark/>
          </w:tcPr>
          <w:p w14:paraId="68DEEC0F" w14:textId="77777777" w:rsidR="00F51406" w:rsidRPr="00F51406" w:rsidRDefault="00F51406" w:rsidP="00F51406">
            <w:pPr>
              <w:spacing w:after="0" w:line="240" w:lineRule="auto"/>
              <w:rPr>
                <w:rFonts w:ascii="Arial" w:eastAsia="Times New Roman" w:hAnsi="Arial" w:cs="Arial"/>
                <w:sz w:val="20"/>
                <w:szCs w:val="20"/>
                <w:lang w:eastAsia="es-ES"/>
              </w:rPr>
            </w:pPr>
            <w:r w:rsidRPr="00F51406">
              <w:rPr>
                <w:rFonts w:ascii="Aptos" w:eastAsia="Times New Roman" w:hAnsi="Aptos" w:cs="Arial"/>
                <w:b/>
                <w:bCs/>
                <w:color w:val="000000"/>
                <w:kern w:val="24"/>
                <w:sz w:val="20"/>
                <w:szCs w:val="20"/>
                <w:lang w:eastAsia="es-ES"/>
              </w:rPr>
              <w:t>there are differences of</w:t>
            </w:r>
          </w:p>
        </w:tc>
        <w:tc>
          <w:tcPr>
            <w:tcW w:w="1560" w:type="dxa"/>
            <w:tcBorders>
              <w:top w:val="single" w:sz="8" w:space="0" w:color="FF5050"/>
              <w:left w:val="single" w:sz="8" w:space="0" w:color="FF5050"/>
              <w:bottom w:val="single" w:sz="8" w:space="0" w:color="FF5050"/>
              <w:right w:val="single" w:sz="8" w:space="0" w:color="FF5050"/>
            </w:tcBorders>
            <w:shd w:val="clear" w:color="auto" w:fill="FFD0D0"/>
            <w:tcMar>
              <w:top w:w="72" w:type="dxa"/>
              <w:left w:w="144" w:type="dxa"/>
              <w:bottom w:w="72" w:type="dxa"/>
              <w:right w:w="144" w:type="dxa"/>
            </w:tcMar>
            <w:hideMark/>
          </w:tcPr>
          <w:p w14:paraId="4B12FCA0" w14:textId="77777777" w:rsidR="00F51406" w:rsidRPr="00F51406" w:rsidRDefault="00F51406" w:rsidP="00F51406">
            <w:pPr>
              <w:spacing w:after="0" w:line="240" w:lineRule="auto"/>
              <w:rPr>
                <w:rFonts w:ascii="Arial" w:eastAsia="Times New Roman" w:hAnsi="Arial" w:cs="Arial"/>
                <w:sz w:val="20"/>
                <w:szCs w:val="20"/>
                <w:lang w:eastAsia="es-ES"/>
              </w:rPr>
            </w:pPr>
            <w:r w:rsidRPr="00F51406">
              <w:rPr>
                <w:rFonts w:ascii="Aptos" w:eastAsia="Times New Roman" w:hAnsi="Aptos" w:cs="Arial"/>
                <w:b/>
                <w:bCs/>
                <w:color w:val="000000"/>
                <w:kern w:val="24"/>
                <w:sz w:val="20"/>
                <w:szCs w:val="20"/>
                <w:lang w:eastAsia="es-ES"/>
              </w:rPr>
              <w:t>gifts</w:t>
            </w:r>
          </w:p>
        </w:tc>
        <w:tc>
          <w:tcPr>
            <w:tcW w:w="1842" w:type="dxa"/>
            <w:vMerge w:val="restart"/>
            <w:tcBorders>
              <w:top w:val="single" w:sz="8" w:space="0" w:color="000000"/>
              <w:left w:val="single" w:sz="8" w:space="0" w:color="FF5050"/>
              <w:bottom w:val="single" w:sz="8" w:space="0" w:color="000000"/>
              <w:right w:val="single" w:sz="8" w:space="0" w:color="006600"/>
            </w:tcBorders>
            <w:shd w:val="clear" w:color="auto" w:fill="FFFFC2"/>
            <w:tcMar>
              <w:top w:w="72" w:type="dxa"/>
              <w:left w:w="144" w:type="dxa"/>
              <w:bottom w:w="72" w:type="dxa"/>
              <w:right w:w="144" w:type="dxa"/>
            </w:tcMar>
            <w:vAlign w:val="center"/>
            <w:hideMark/>
          </w:tcPr>
          <w:p w14:paraId="327265A9" w14:textId="77777777" w:rsidR="00F51406" w:rsidRPr="00F51406" w:rsidRDefault="00F51406" w:rsidP="00F51406">
            <w:pPr>
              <w:spacing w:after="0" w:line="240" w:lineRule="auto"/>
              <w:rPr>
                <w:rFonts w:ascii="Arial" w:eastAsia="Times New Roman" w:hAnsi="Arial" w:cs="Arial"/>
                <w:sz w:val="20"/>
                <w:szCs w:val="20"/>
                <w:lang w:eastAsia="es-ES"/>
              </w:rPr>
            </w:pPr>
            <w:r w:rsidRPr="00F51406">
              <w:rPr>
                <w:rFonts w:ascii="Aptos" w:eastAsia="Times New Roman" w:hAnsi="Aptos" w:cs="Arial"/>
                <w:b/>
                <w:bCs/>
                <w:color w:val="000000"/>
                <w:kern w:val="24"/>
                <w:sz w:val="20"/>
                <w:szCs w:val="20"/>
                <w:lang w:eastAsia="es-ES"/>
              </w:rPr>
              <w:t>But the same</w:t>
            </w:r>
          </w:p>
        </w:tc>
        <w:tc>
          <w:tcPr>
            <w:tcW w:w="2381" w:type="dxa"/>
            <w:tcBorders>
              <w:top w:val="single" w:sz="8" w:space="0" w:color="006600"/>
              <w:left w:val="single" w:sz="8" w:space="0" w:color="006600"/>
              <w:bottom w:val="single" w:sz="8" w:space="0" w:color="006600"/>
              <w:right w:val="single" w:sz="8" w:space="0" w:color="006600"/>
            </w:tcBorders>
            <w:shd w:val="clear" w:color="auto" w:fill="85FF85"/>
            <w:tcMar>
              <w:top w:w="72" w:type="dxa"/>
              <w:left w:w="144" w:type="dxa"/>
              <w:bottom w:w="72" w:type="dxa"/>
              <w:right w:w="144" w:type="dxa"/>
            </w:tcMar>
            <w:hideMark/>
          </w:tcPr>
          <w:p w14:paraId="69B2CE92" w14:textId="77777777" w:rsidR="00F51406" w:rsidRPr="00F51406" w:rsidRDefault="00F51406" w:rsidP="00F51406">
            <w:pPr>
              <w:spacing w:after="0" w:line="240" w:lineRule="auto"/>
              <w:rPr>
                <w:rFonts w:ascii="Arial" w:eastAsia="Times New Roman" w:hAnsi="Arial" w:cs="Arial"/>
                <w:sz w:val="20"/>
                <w:szCs w:val="20"/>
                <w:lang w:eastAsia="es-ES"/>
              </w:rPr>
            </w:pPr>
            <w:r w:rsidRPr="00F51406">
              <w:rPr>
                <w:rFonts w:ascii="Aptos" w:eastAsia="Times New Roman" w:hAnsi="Aptos" w:cs="Arial"/>
                <w:b/>
                <w:bCs/>
                <w:color w:val="000000"/>
                <w:kern w:val="24"/>
                <w:sz w:val="20"/>
                <w:szCs w:val="20"/>
                <w:lang w:eastAsia="es-ES"/>
              </w:rPr>
              <w:t>Spirit</w:t>
            </w:r>
          </w:p>
        </w:tc>
      </w:tr>
      <w:tr w:rsidR="00F51406" w:rsidRPr="00F51406" w14:paraId="06F4730E" w14:textId="77777777" w:rsidTr="00F51406">
        <w:trPr>
          <w:trHeight w:val="245"/>
        </w:trPr>
        <w:tc>
          <w:tcPr>
            <w:tcW w:w="1691" w:type="dxa"/>
            <w:tcBorders>
              <w:top w:val="single" w:sz="8" w:space="0" w:color="7F4D00"/>
              <w:left w:val="single" w:sz="8" w:space="0" w:color="7F4D00"/>
              <w:bottom w:val="single" w:sz="8" w:space="0" w:color="7F4D00"/>
              <w:right w:val="single" w:sz="8" w:space="0" w:color="7F4D00"/>
            </w:tcBorders>
            <w:shd w:val="clear" w:color="auto" w:fill="FFEBCC"/>
            <w:tcMar>
              <w:top w:w="72" w:type="dxa"/>
              <w:left w:w="144" w:type="dxa"/>
              <w:bottom w:w="72" w:type="dxa"/>
              <w:right w:w="144" w:type="dxa"/>
            </w:tcMar>
            <w:hideMark/>
          </w:tcPr>
          <w:p w14:paraId="549EE2D5" w14:textId="77777777" w:rsidR="00F51406" w:rsidRPr="00F51406" w:rsidRDefault="00F51406" w:rsidP="00F51406">
            <w:pPr>
              <w:spacing w:after="0" w:line="240" w:lineRule="auto"/>
              <w:rPr>
                <w:rFonts w:ascii="Arial" w:eastAsia="Times New Roman" w:hAnsi="Arial" w:cs="Arial"/>
                <w:sz w:val="20"/>
                <w:szCs w:val="20"/>
                <w:lang w:eastAsia="es-ES"/>
              </w:rPr>
            </w:pPr>
            <w:r w:rsidRPr="00F51406">
              <w:rPr>
                <w:rFonts w:ascii="Aptos" w:eastAsia="Times New Roman" w:hAnsi="Aptos" w:cs="Arial"/>
                <w:b/>
                <w:bCs/>
                <w:color w:val="000000"/>
                <w:kern w:val="24"/>
                <w:sz w:val="20"/>
                <w:szCs w:val="20"/>
                <w:lang w:eastAsia="es-ES"/>
              </w:rPr>
              <w:t>1 Cor.12:5</w:t>
            </w:r>
          </w:p>
        </w:tc>
        <w:tc>
          <w:tcPr>
            <w:tcW w:w="2835" w:type="dxa"/>
            <w:vMerge/>
            <w:tcBorders>
              <w:top w:val="single" w:sz="8" w:space="0" w:color="000000"/>
              <w:left w:val="single" w:sz="8" w:space="0" w:color="7F4D00"/>
              <w:bottom w:val="single" w:sz="8" w:space="0" w:color="000000"/>
              <w:right w:val="single" w:sz="8" w:space="0" w:color="FF5050"/>
            </w:tcBorders>
            <w:vAlign w:val="center"/>
            <w:hideMark/>
          </w:tcPr>
          <w:p w14:paraId="6E70F864" w14:textId="77777777" w:rsidR="00F51406" w:rsidRPr="00F51406" w:rsidRDefault="00F51406" w:rsidP="00F51406">
            <w:pPr>
              <w:spacing w:after="0" w:line="240" w:lineRule="auto"/>
              <w:rPr>
                <w:rFonts w:ascii="Arial" w:eastAsia="Times New Roman" w:hAnsi="Arial" w:cs="Arial"/>
                <w:sz w:val="20"/>
                <w:szCs w:val="20"/>
                <w:lang w:eastAsia="es-ES"/>
              </w:rPr>
            </w:pPr>
          </w:p>
        </w:tc>
        <w:tc>
          <w:tcPr>
            <w:tcW w:w="1560" w:type="dxa"/>
            <w:tcBorders>
              <w:top w:val="single" w:sz="8" w:space="0" w:color="FF5050"/>
              <w:left w:val="single" w:sz="8" w:space="0" w:color="FF5050"/>
              <w:bottom w:val="single" w:sz="8" w:space="0" w:color="FF5050"/>
              <w:right w:val="single" w:sz="8" w:space="0" w:color="FF5050"/>
            </w:tcBorders>
            <w:shd w:val="clear" w:color="auto" w:fill="FFE9E9"/>
            <w:tcMar>
              <w:top w:w="72" w:type="dxa"/>
              <w:left w:w="144" w:type="dxa"/>
              <w:bottom w:w="72" w:type="dxa"/>
              <w:right w:w="144" w:type="dxa"/>
            </w:tcMar>
            <w:hideMark/>
          </w:tcPr>
          <w:p w14:paraId="7EF60D8F" w14:textId="77777777" w:rsidR="00F51406" w:rsidRPr="00F51406" w:rsidRDefault="00F51406" w:rsidP="00F51406">
            <w:pPr>
              <w:spacing w:after="0" w:line="240" w:lineRule="auto"/>
              <w:rPr>
                <w:rFonts w:ascii="Arial" w:eastAsia="Times New Roman" w:hAnsi="Arial" w:cs="Arial"/>
                <w:sz w:val="20"/>
                <w:szCs w:val="20"/>
                <w:lang w:eastAsia="es-ES"/>
              </w:rPr>
            </w:pPr>
            <w:r w:rsidRPr="00F51406">
              <w:rPr>
                <w:rFonts w:ascii="Aptos" w:eastAsia="Times New Roman" w:hAnsi="Aptos" w:cs="Arial"/>
                <w:b/>
                <w:bCs/>
                <w:color w:val="000000"/>
                <w:kern w:val="24"/>
                <w:sz w:val="20"/>
                <w:szCs w:val="20"/>
                <w:lang w:eastAsia="es-ES"/>
              </w:rPr>
              <w:t>ministries</w:t>
            </w:r>
          </w:p>
        </w:tc>
        <w:tc>
          <w:tcPr>
            <w:tcW w:w="1842" w:type="dxa"/>
            <w:vMerge/>
            <w:tcBorders>
              <w:top w:val="single" w:sz="8" w:space="0" w:color="000000"/>
              <w:left w:val="single" w:sz="8" w:space="0" w:color="FF5050"/>
              <w:bottom w:val="single" w:sz="8" w:space="0" w:color="000000"/>
              <w:right w:val="single" w:sz="8" w:space="0" w:color="006600"/>
            </w:tcBorders>
            <w:vAlign w:val="center"/>
            <w:hideMark/>
          </w:tcPr>
          <w:p w14:paraId="40732341" w14:textId="77777777" w:rsidR="00F51406" w:rsidRPr="00F51406" w:rsidRDefault="00F51406" w:rsidP="00F51406">
            <w:pPr>
              <w:spacing w:after="0" w:line="240" w:lineRule="auto"/>
              <w:rPr>
                <w:rFonts w:ascii="Arial" w:eastAsia="Times New Roman" w:hAnsi="Arial" w:cs="Arial"/>
                <w:sz w:val="20"/>
                <w:szCs w:val="20"/>
                <w:lang w:eastAsia="es-ES"/>
              </w:rPr>
            </w:pPr>
          </w:p>
        </w:tc>
        <w:tc>
          <w:tcPr>
            <w:tcW w:w="2381" w:type="dxa"/>
            <w:tcBorders>
              <w:top w:val="single" w:sz="8" w:space="0" w:color="006600"/>
              <w:left w:val="single" w:sz="8" w:space="0" w:color="006600"/>
              <w:bottom w:val="single" w:sz="8" w:space="0" w:color="006600"/>
              <w:right w:val="single" w:sz="8" w:space="0" w:color="006600"/>
            </w:tcBorders>
            <w:shd w:val="clear" w:color="auto" w:fill="C2FFC2"/>
            <w:tcMar>
              <w:top w:w="72" w:type="dxa"/>
              <w:left w:w="144" w:type="dxa"/>
              <w:bottom w:w="72" w:type="dxa"/>
              <w:right w:w="144" w:type="dxa"/>
            </w:tcMar>
            <w:hideMark/>
          </w:tcPr>
          <w:p w14:paraId="1C1C5BA4" w14:textId="77777777" w:rsidR="00F51406" w:rsidRPr="00F51406" w:rsidRDefault="00F51406" w:rsidP="00F51406">
            <w:pPr>
              <w:spacing w:after="0" w:line="240" w:lineRule="auto"/>
              <w:rPr>
                <w:rFonts w:ascii="Arial" w:eastAsia="Times New Roman" w:hAnsi="Arial" w:cs="Arial"/>
                <w:sz w:val="20"/>
                <w:szCs w:val="20"/>
                <w:lang w:eastAsia="es-ES"/>
              </w:rPr>
            </w:pPr>
            <w:r w:rsidRPr="00F51406">
              <w:rPr>
                <w:rFonts w:ascii="Aptos" w:eastAsia="Times New Roman" w:hAnsi="Aptos" w:cs="Arial"/>
                <w:b/>
                <w:bCs/>
                <w:color w:val="000000"/>
                <w:kern w:val="24"/>
                <w:sz w:val="20"/>
                <w:szCs w:val="20"/>
                <w:lang w:eastAsia="es-ES"/>
              </w:rPr>
              <w:t>Lord</w:t>
            </w:r>
          </w:p>
        </w:tc>
      </w:tr>
      <w:tr w:rsidR="00F51406" w:rsidRPr="00F51406" w14:paraId="4D450B21" w14:textId="77777777" w:rsidTr="00F51406">
        <w:trPr>
          <w:trHeight w:val="265"/>
        </w:trPr>
        <w:tc>
          <w:tcPr>
            <w:tcW w:w="1691" w:type="dxa"/>
            <w:tcBorders>
              <w:top w:val="single" w:sz="8" w:space="0" w:color="7F4D00"/>
              <w:left w:val="single" w:sz="8" w:space="0" w:color="7F4D00"/>
              <w:bottom w:val="single" w:sz="8" w:space="0" w:color="7F4D00"/>
              <w:right w:val="single" w:sz="8" w:space="0" w:color="7F4D00"/>
            </w:tcBorders>
            <w:shd w:val="clear" w:color="auto" w:fill="FFD699"/>
            <w:tcMar>
              <w:top w:w="72" w:type="dxa"/>
              <w:left w:w="144" w:type="dxa"/>
              <w:bottom w:w="72" w:type="dxa"/>
              <w:right w:w="144" w:type="dxa"/>
            </w:tcMar>
            <w:hideMark/>
          </w:tcPr>
          <w:p w14:paraId="6AEE96B5" w14:textId="77777777" w:rsidR="00F51406" w:rsidRPr="00F51406" w:rsidRDefault="00F51406" w:rsidP="00F51406">
            <w:pPr>
              <w:spacing w:after="0" w:line="240" w:lineRule="auto"/>
              <w:rPr>
                <w:rFonts w:ascii="Arial" w:eastAsia="Times New Roman" w:hAnsi="Arial" w:cs="Arial"/>
                <w:sz w:val="20"/>
                <w:szCs w:val="20"/>
                <w:lang w:eastAsia="es-ES"/>
              </w:rPr>
            </w:pPr>
            <w:r w:rsidRPr="00F51406">
              <w:rPr>
                <w:rFonts w:ascii="Aptos" w:eastAsia="Times New Roman" w:hAnsi="Aptos" w:cs="Arial"/>
                <w:b/>
                <w:bCs/>
                <w:color w:val="000000"/>
                <w:kern w:val="24"/>
                <w:sz w:val="20"/>
                <w:szCs w:val="20"/>
                <w:lang w:eastAsia="es-ES"/>
              </w:rPr>
              <w:t>1 Cor.12:6</w:t>
            </w:r>
          </w:p>
        </w:tc>
        <w:tc>
          <w:tcPr>
            <w:tcW w:w="2835" w:type="dxa"/>
            <w:vMerge/>
            <w:tcBorders>
              <w:top w:val="single" w:sz="8" w:space="0" w:color="000000"/>
              <w:left w:val="single" w:sz="8" w:space="0" w:color="7F4D00"/>
              <w:bottom w:val="single" w:sz="8" w:space="0" w:color="000000"/>
              <w:right w:val="single" w:sz="8" w:space="0" w:color="FF5050"/>
            </w:tcBorders>
            <w:vAlign w:val="center"/>
            <w:hideMark/>
          </w:tcPr>
          <w:p w14:paraId="5E18878D" w14:textId="77777777" w:rsidR="00F51406" w:rsidRPr="00F51406" w:rsidRDefault="00F51406" w:rsidP="00F51406">
            <w:pPr>
              <w:spacing w:after="0" w:line="240" w:lineRule="auto"/>
              <w:rPr>
                <w:rFonts w:ascii="Arial" w:eastAsia="Times New Roman" w:hAnsi="Arial" w:cs="Arial"/>
                <w:sz w:val="20"/>
                <w:szCs w:val="20"/>
                <w:lang w:eastAsia="es-ES"/>
              </w:rPr>
            </w:pPr>
          </w:p>
        </w:tc>
        <w:tc>
          <w:tcPr>
            <w:tcW w:w="1560" w:type="dxa"/>
            <w:tcBorders>
              <w:top w:val="single" w:sz="8" w:space="0" w:color="FF5050"/>
              <w:left w:val="single" w:sz="8" w:space="0" w:color="FF5050"/>
              <w:bottom w:val="single" w:sz="8" w:space="0" w:color="FF5050"/>
              <w:right w:val="single" w:sz="8" w:space="0" w:color="FF5050"/>
            </w:tcBorders>
            <w:shd w:val="clear" w:color="auto" w:fill="FFD0D0"/>
            <w:tcMar>
              <w:top w:w="72" w:type="dxa"/>
              <w:left w:w="144" w:type="dxa"/>
              <w:bottom w:w="72" w:type="dxa"/>
              <w:right w:w="144" w:type="dxa"/>
            </w:tcMar>
            <w:hideMark/>
          </w:tcPr>
          <w:p w14:paraId="6E151857" w14:textId="77777777" w:rsidR="00F51406" w:rsidRPr="00F51406" w:rsidRDefault="00F51406" w:rsidP="00F51406">
            <w:pPr>
              <w:spacing w:after="0" w:line="240" w:lineRule="auto"/>
              <w:rPr>
                <w:rFonts w:ascii="Arial" w:eastAsia="Times New Roman" w:hAnsi="Arial" w:cs="Arial"/>
                <w:sz w:val="20"/>
                <w:szCs w:val="20"/>
                <w:lang w:eastAsia="es-ES"/>
              </w:rPr>
            </w:pPr>
            <w:r w:rsidRPr="00F51406">
              <w:rPr>
                <w:rFonts w:ascii="Aptos" w:eastAsia="Times New Roman" w:hAnsi="Aptos" w:cs="Arial"/>
                <w:b/>
                <w:bCs/>
                <w:color w:val="000000"/>
                <w:kern w:val="24"/>
                <w:sz w:val="20"/>
                <w:szCs w:val="20"/>
                <w:lang w:eastAsia="es-ES"/>
              </w:rPr>
              <w:t>workings</w:t>
            </w:r>
          </w:p>
        </w:tc>
        <w:tc>
          <w:tcPr>
            <w:tcW w:w="1842" w:type="dxa"/>
            <w:vMerge/>
            <w:tcBorders>
              <w:top w:val="single" w:sz="8" w:space="0" w:color="000000"/>
              <w:left w:val="single" w:sz="8" w:space="0" w:color="FF5050"/>
              <w:bottom w:val="single" w:sz="8" w:space="0" w:color="000000"/>
              <w:right w:val="single" w:sz="8" w:space="0" w:color="006600"/>
            </w:tcBorders>
            <w:vAlign w:val="center"/>
            <w:hideMark/>
          </w:tcPr>
          <w:p w14:paraId="3A53C5EE" w14:textId="77777777" w:rsidR="00F51406" w:rsidRPr="00F51406" w:rsidRDefault="00F51406" w:rsidP="00F51406">
            <w:pPr>
              <w:spacing w:after="0" w:line="240" w:lineRule="auto"/>
              <w:rPr>
                <w:rFonts w:ascii="Arial" w:eastAsia="Times New Roman" w:hAnsi="Arial" w:cs="Arial"/>
                <w:sz w:val="20"/>
                <w:szCs w:val="20"/>
                <w:lang w:eastAsia="es-ES"/>
              </w:rPr>
            </w:pPr>
          </w:p>
        </w:tc>
        <w:tc>
          <w:tcPr>
            <w:tcW w:w="2381" w:type="dxa"/>
            <w:tcBorders>
              <w:top w:val="single" w:sz="8" w:space="0" w:color="006600"/>
              <w:left w:val="single" w:sz="8" w:space="0" w:color="006600"/>
              <w:bottom w:val="single" w:sz="8" w:space="0" w:color="006600"/>
              <w:right w:val="single" w:sz="8" w:space="0" w:color="006600"/>
            </w:tcBorders>
            <w:shd w:val="clear" w:color="auto" w:fill="85FF85"/>
            <w:tcMar>
              <w:top w:w="72" w:type="dxa"/>
              <w:left w:w="144" w:type="dxa"/>
              <w:bottom w:w="72" w:type="dxa"/>
              <w:right w:w="144" w:type="dxa"/>
            </w:tcMar>
            <w:hideMark/>
          </w:tcPr>
          <w:p w14:paraId="3ADD0CE9" w14:textId="77777777" w:rsidR="00F51406" w:rsidRPr="00F51406" w:rsidRDefault="00F51406" w:rsidP="00F51406">
            <w:pPr>
              <w:spacing w:after="0" w:line="240" w:lineRule="auto"/>
              <w:rPr>
                <w:rFonts w:ascii="Arial" w:eastAsia="Times New Roman" w:hAnsi="Arial" w:cs="Arial"/>
                <w:sz w:val="20"/>
                <w:szCs w:val="20"/>
                <w:lang w:eastAsia="es-ES"/>
              </w:rPr>
            </w:pPr>
            <w:r w:rsidRPr="00F51406">
              <w:rPr>
                <w:rFonts w:ascii="Aptos" w:eastAsia="Times New Roman" w:hAnsi="Aptos" w:cs="Arial"/>
                <w:b/>
                <w:bCs/>
                <w:color w:val="000000"/>
                <w:kern w:val="24"/>
                <w:sz w:val="20"/>
                <w:szCs w:val="20"/>
                <w:lang w:eastAsia="es-ES"/>
              </w:rPr>
              <w:t>God</w:t>
            </w:r>
          </w:p>
        </w:tc>
      </w:tr>
    </w:tbl>
    <w:p w14:paraId="3CBC7678" w14:textId="58526449" w:rsidR="0044563A" w:rsidRPr="00F51406" w:rsidRDefault="0044563A" w:rsidP="0044563A">
      <w:pPr>
        <w:pStyle w:val="Prrafodelista"/>
        <w:numPr>
          <w:ilvl w:val="0"/>
          <w:numId w:val="2"/>
        </w:numPr>
        <w:rPr>
          <w:sz w:val="20"/>
          <w:szCs w:val="20"/>
        </w:rPr>
      </w:pPr>
      <w:r w:rsidRPr="00F51406">
        <w:rPr>
          <w:sz w:val="20"/>
          <w:szCs w:val="20"/>
        </w:rPr>
        <w:t>To help us understand the relationship between spiritual gifts and their Giver, Paul uses three terms to identify them, highlighting their diversity: gifts; ministries; and operations.</w:t>
      </w:r>
    </w:p>
    <w:p w14:paraId="67BB64E1" w14:textId="782A987A" w:rsidR="0044563A" w:rsidRPr="00F51406" w:rsidRDefault="0044563A" w:rsidP="0044563A">
      <w:pPr>
        <w:pStyle w:val="Prrafodelista"/>
        <w:numPr>
          <w:ilvl w:val="0"/>
          <w:numId w:val="2"/>
        </w:numPr>
        <w:rPr>
          <w:sz w:val="20"/>
          <w:szCs w:val="20"/>
        </w:rPr>
      </w:pPr>
      <w:r w:rsidRPr="00F51406">
        <w:rPr>
          <w:sz w:val="20"/>
          <w:szCs w:val="20"/>
        </w:rPr>
        <w:t xml:space="preserve">However, the Giver is One: </w:t>
      </w:r>
      <w:proofErr w:type="gramStart"/>
      <w:r w:rsidR="003B735D">
        <w:rPr>
          <w:sz w:val="20"/>
          <w:szCs w:val="20"/>
        </w:rPr>
        <w:t>t</w:t>
      </w:r>
      <w:r w:rsidRPr="00F51406">
        <w:rPr>
          <w:sz w:val="20"/>
          <w:szCs w:val="20"/>
        </w:rPr>
        <w:t>he</w:t>
      </w:r>
      <w:proofErr w:type="gramEnd"/>
      <w:r w:rsidRPr="00F51406">
        <w:rPr>
          <w:sz w:val="20"/>
          <w:szCs w:val="20"/>
        </w:rPr>
        <w:t xml:space="preserve"> </w:t>
      </w:r>
      <w:r w:rsidR="003B735D">
        <w:rPr>
          <w:sz w:val="20"/>
          <w:szCs w:val="20"/>
        </w:rPr>
        <w:t>[</w:t>
      </w:r>
      <w:r w:rsidRPr="00F51406">
        <w:rPr>
          <w:sz w:val="20"/>
          <w:szCs w:val="20"/>
        </w:rPr>
        <w:t>Holy</w:t>
      </w:r>
      <w:r w:rsidR="003B735D">
        <w:rPr>
          <w:sz w:val="20"/>
          <w:szCs w:val="20"/>
        </w:rPr>
        <w:t>]</w:t>
      </w:r>
      <w:r w:rsidRPr="00F51406">
        <w:rPr>
          <w:sz w:val="20"/>
          <w:szCs w:val="20"/>
        </w:rPr>
        <w:t xml:space="preserve"> Spirit; </w:t>
      </w:r>
      <w:r w:rsidR="003B735D">
        <w:rPr>
          <w:sz w:val="20"/>
          <w:szCs w:val="20"/>
        </w:rPr>
        <w:t>t</w:t>
      </w:r>
      <w:r w:rsidRPr="00F51406">
        <w:rPr>
          <w:sz w:val="20"/>
          <w:szCs w:val="20"/>
        </w:rPr>
        <w:t>he Lord [Jesus]; and God [</w:t>
      </w:r>
      <w:r w:rsidR="003B735D">
        <w:rPr>
          <w:sz w:val="20"/>
          <w:szCs w:val="20"/>
        </w:rPr>
        <w:t>t</w:t>
      </w:r>
      <w:r w:rsidRPr="00F51406">
        <w:rPr>
          <w:sz w:val="20"/>
          <w:szCs w:val="20"/>
        </w:rPr>
        <w:t xml:space="preserve">he Father]. That is to say: </w:t>
      </w:r>
      <w:r w:rsidR="00736333" w:rsidRPr="00F51406">
        <w:rPr>
          <w:sz w:val="20"/>
          <w:szCs w:val="20"/>
        </w:rPr>
        <w:t>T</w:t>
      </w:r>
      <w:r w:rsidRPr="00F51406">
        <w:rPr>
          <w:sz w:val="20"/>
          <w:szCs w:val="20"/>
        </w:rPr>
        <w:t>he Deity working in unison (John 14:16).</w:t>
      </w:r>
    </w:p>
    <w:p w14:paraId="4311ECA9" w14:textId="7F9A6B47" w:rsidR="0044563A" w:rsidRPr="00F51406" w:rsidRDefault="0044563A" w:rsidP="0044563A">
      <w:pPr>
        <w:pStyle w:val="Prrafodelista"/>
        <w:numPr>
          <w:ilvl w:val="0"/>
          <w:numId w:val="2"/>
        </w:numPr>
        <w:rPr>
          <w:sz w:val="20"/>
          <w:szCs w:val="20"/>
        </w:rPr>
      </w:pPr>
      <w:r w:rsidRPr="00F51406">
        <w:rPr>
          <w:sz w:val="20"/>
          <w:szCs w:val="20"/>
        </w:rPr>
        <w:t>But God does not bestow gifts as the Greco-Roman “gods” did (1 Cor. 12:2). There is no ecstasy, nor a hierarchical selection of the recipients of the gifts (such as, for example, priestesses).</w:t>
      </w:r>
    </w:p>
    <w:p w14:paraId="57F99478" w14:textId="6B8469D4" w:rsidR="0044563A" w:rsidRPr="00F51406" w:rsidRDefault="0044563A" w:rsidP="0044563A">
      <w:pPr>
        <w:pStyle w:val="Prrafodelista"/>
        <w:numPr>
          <w:ilvl w:val="0"/>
          <w:numId w:val="2"/>
        </w:numPr>
        <w:rPr>
          <w:sz w:val="20"/>
          <w:szCs w:val="20"/>
        </w:rPr>
      </w:pPr>
      <w:r w:rsidRPr="00F51406">
        <w:rPr>
          <w:sz w:val="20"/>
          <w:szCs w:val="20"/>
        </w:rPr>
        <w:t>Why does God give different gifts to different people? (1 Cor. 12:7)</w:t>
      </w:r>
    </w:p>
    <w:p w14:paraId="13B6B7C7" w14:textId="4F6E89B2" w:rsidR="0044563A" w:rsidRPr="00F51406" w:rsidRDefault="0044563A" w:rsidP="0044563A">
      <w:pPr>
        <w:pStyle w:val="Prrafodelista"/>
        <w:numPr>
          <w:ilvl w:val="0"/>
          <w:numId w:val="2"/>
        </w:numPr>
        <w:rPr>
          <w:sz w:val="20"/>
          <w:szCs w:val="20"/>
        </w:rPr>
      </w:pPr>
      <w:r w:rsidRPr="00F51406">
        <w:rPr>
          <w:sz w:val="20"/>
          <w:szCs w:val="20"/>
        </w:rPr>
        <w:t>Spiritual gifts are used “for the benefit” of the church. Only God knows which people can use a particular gift to achieve that purpose.</w:t>
      </w:r>
    </w:p>
    <w:p w14:paraId="5153D8C5" w14:textId="77777777" w:rsidR="00D170BE" w:rsidRPr="00F51406" w:rsidRDefault="00D170BE" w:rsidP="00D170BE">
      <w:pPr>
        <w:pStyle w:val="Prrafodelista"/>
        <w:numPr>
          <w:ilvl w:val="1"/>
          <w:numId w:val="1"/>
        </w:numPr>
        <w:rPr>
          <w:b/>
          <w:bCs/>
          <w:sz w:val="20"/>
          <w:szCs w:val="20"/>
        </w:rPr>
      </w:pPr>
      <w:r w:rsidRPr="00F51406">
        <w:rPr>
          <w:b/>
          <w:bCs/>
          <w:sz w:val="20"/>
          <w:szCs w:val="20"/>
        </w:rPr>
        <w:t>Many members, one body.</w:t>
      </w:r>
    </w:p>
    <w:p w14:paraId="7BA23374" w14:textId="3D7C2858" w:rsidR="005C3DAD" w:rsidRPr="00F51406" w:rsidRDefault="005C3DAD" w:rsidP="005C3DAD">
      <w:pPr>
        <w:pStyle w:val="Prrafodelista"/>
        <w:numPr>
          <w:ilvl w:val="2"/>
          <w:numId w:val="1"/>
        </w:numPr>
        <w:rPr>
          <w:sz w:val="20"/>
          <w:szCs w:val="20"/>
        </w:rPr>
      </w:pPr>
      <w:r w:rsidRPr="00F51406">
        <w:rPr>
          <w:sz w:val="20"/>
          <w:szCs w:val="20"/>
        </w:rPr>
        <w:t>God is one, but each member of the Godhead has its own function. Likewise, the church is one, but each component of it has its own function as part of the body of Christ on Earth (1 Cor. 12:12-13).</w:t>
      </w:r>
    </w:p>
    <w:p w14:paraId="762932A6" w14:textId="3F016DCF" w:rsidR="005C3DAD" w:rsidRPr="00F51406" w:rsidRDefault="005C3DAD" w:rsidP="005C3DAD">
      <w:pPr>
        <w:pStyle w:val="Prrafodelista"/>
        <w:numPr>
          <w:ilvl w:val="2"/>
          <w:numId w:val="1"/>
        </w:numPr>
        <w:rPr>
          <w:sz w:val="20"/>
          <w:szCs w:val="20"/>
        </w:rPr>
      </w:pPr>
      <w:r w:rsidRPr="00F51406">
        <w:rPr>
          <w:sz w:val="20"/>
          <w:szCs w:val="20"/>
        </w:rPr>
        <w:t>Paul uses the analogy of the human body as the church to highlight unity in diversity. The eye has the “gift” of sight, but the ear does not. However, the two complement each other by working together. Similarly, in the church, each person carries out their work according to the gifts they have received (1 Corinthians 12:28-30).</w:t>
      </w:r>
    </w:p>
    <w:p w14:paraId="62E77817" w14:textId="51EBDCEC" w:rsidR="005C3DAD" w:rsidRPr="00F51406" w:rsidRDefault="005C3DAD" w:rsidP="005C3DAD">
      <w:pPr>
        <w:pStyle w:val="Prrafodelista"/>
        <w:numPr>
          <w:ilvl w:val="2"/>
          <w:numId w:val="1"/>
        </w:numPr>
        <w:rPr>
          <w:sz w:val="20"/>
          <w:szCs w:val="20"/>
        </w:rPr>
      </w:pPr>
      <w:r w:rsidRPr="00F51406">
        <w:rPr>
          <w:sz w:val="20"/>
          <w:szCs w:val="20"/>
        </w:rPr>
        <w:t>This implies that everyone is needed; that no one is greater than another; that everyone should care about the well-being of others; and that everyone should work for the unity of the church (1 Cor. 12:15-27).</w:t>
      </w:r>
    </w:p>
    <w:p w14:paraId="18AFD443" w14:textId="77777777" w:rsidR="00D170BE" w:rsidRPr="00F51406" w:rsidRDefault="00D170BE" w:rsidP="00D170BE">
      <w:pPr>
        <w:pStyle w:val="Prrafodelista"/>
        <w:numPr>
          <w:ilvl w:val="0"/>
          <w:numId w:val="1"/>
        </w:numPr>
        <w:rPr>
          <w:b/>
          <w:bCs/>
          <w:sz w:val="20"/>
          <w:szCs w:val="20"/>
        </w:rPr>
      </w:pPr>
      <w:r w:rsidRPr="00F51406">
        <w:rPr>
          <w:b/>
          <w:bCs/>
          <w:sz w:val="20"/>
          <w:szCs w:val="20"/>
        </w:rPr>
        <w:t>The unifying element:</w:t>
      </w:r>
    </w:p>
    <w:p w14:paraId="2C6EC7E3" w14:textId="77777777" w:rsidR="00D170BE" w:rsidRPr="00F51406" w:rsidRDefault="00D170BE" w:rsidP="00D170BE">
      <w:pPr>
        <w:pStyle w:val="Prrafodelista"/>
        <w:numPr>
          <w:ilvl w:val="1"/>
          <w:numId w:val="1"/>
        </w:numPr>
        <w:rPr>
          <w:b/>
          <w:bCs/>
          <w:sz w:val="20"/>
          <w:szCs w:val="20"/>
        </w:rPr>
      </w:pPr>
      <w:r w:rsidRPr="00F51406">
        <w:rPr>
          <w:b/>
          <w:bCs/>
          <w:sz w:val="20"/>
          <w:szCs w:val="20"/>
        </w:rPr>
        <w:t>The excellence of love.</w:t>
      </w:r>
    </w:p>
    <w:p w14:paraId="499A6F23" w14:textId="60ACD371" w:rsidR="00DE22EB" w:rsidRPr="00F51406" w:rsidRDefault="00DE22EB" w:rsidP="003176A0">
      <w:pPr>
        <w:pStyle w:val="Prrafodelista"/>
        <w:numPr>
          <w:ilvl w:val="2"/>
          <w:numId w:val="1"/>
        </w:numPr>
        <w:rPr>
          <w:sz w:val="20"/>
          <w:szCs w:val="20"/>
        </w:rPr>
      </w:pPr>
      <w:r w:rsidRPr="00F51406">
        <w:rPr>
          <w:sz w:val="20"/>
          <w:szCs w:val="20"/>
        </w:rPr>
        <w:t>Love is not a gift, but “</w:t>
      </w:r>
      <w:r w:rsidR="003176A0" w:rsidRPr="003176A0">
        <w:rPr>
          <w:sz w:val="20"/>
          <w:szCs w:val="20"/>
        </w:rPr>
        <w:t>the most excellent way</w:t>
      </w:r>
      <w:r w:rsidRPr="00F51406">
        <w:rPr>
          <w:sz w:val="20"/>
          <w:szCs w:val="20"/>
        </w:rPr>
        <w:t>” (1 Corinthians 12:31). It is a fruit of the Holy Spirit in the life of the believer (Galatians 5:22). Spiritual gifts can only be used properly through love.</w:t>
      </w:r>
    </w:p>
    <w:p w14:paraId="27492F86" w14:textId="357CAD8B" w:rsidR="00DE22EB" w:rsidRPr="00F51406" w:rsidRDefault="00DE22EB" w:rsidP="00DE22EB">
      <w:pPr>
        <w:pStyle w:val="Prrafodelista"/>
        <w:numPr>
          <w:ilvl w:val="2"/>
          <w:numId w:val="1"/>
        </w:numPr>
        <w:rPr>
          <w:sz w:val="20"/>
          <w:szCs w:val="20"/>
        </w:rPr>
      </w:pPr>
      <w:r w:rsidRPr="00F51406">
        <w:rPr>
          <w:sz w:val="20"/>
          <w:szCs w:val="20"/>
        </w:rPr>
        <w:t>The gift of tongues, without love, is “a resounding gong or a clanging cymbal.” The gift of prophecy, the gift of knowledge, and the gift of faith, without love, are nothing. The gift of generosity and the gift of martyrdom, without love, are worthless (1 Cor. 13:1-3).</w:t>
      </w:r>
    </w:p>
    <w:p w14:paraId="30F71620" w14:textId="77777777" w:rsidR="00D170BE" w:rsidRPr="00F51406" w:rsidRDefault="00D170BE" w:rsidP="00D170BE">
      <w:pPr>
        <w:pStyle w:val="Prrafodelista"/>
        <w:numPr>
          <w:ilvl w:val="0"/>
          <w:numId w:val="1"/>
        </w:numPr>
        <w:rPr>
          <w:b/>
          <w:bCs/>
          <w:sz w:val="20"/>
          <w:szCs w:val="20"/>
        </w:rPr>
      </w:pPr>
      <w:r w:rsidRPr="00F51406">
        <w:rPr>
          <w:b/>
          <w:bCs/>
          <w:sz w:val="20"/>
          <w:szCs w:val="20"/>
        </w:rPr>
        <w:t>Special gifts:</w:t>
      </w:r>
    </w:p>
    <w:p w14:paraId="1218881E" w14:textId="3309C143" w:rsidR="00D170BE" w:rsidRPr="00F51406" w:rsidRDefault="00D170BE" w:rsidP="000D3992">
      <w:pPr>
        <w:pStyle w:val="Prrafodelista"/>
        <w:numPr>
          <w:ilvl w:val="1"/>
          <w:numId w:val="1"/>
        </w:numPr>
        <w:ind w:left="709" w:hanging="349"/>
        <w:rPr>
          <w:b/>
          <w:bCs/>
          <w:sz w:val="20"/>
          <w:szCs w:val="20"/>
        </w:rPr>
      </w:pPr>
      <w:r w:rsidRPr="00F51406">
        <w:rPr>
          <w:b/>
          <w:bCs/>
          <w:sz w:val="20"/>
          <w:szCs w:val="20"/>
        </w:rPr>
        <w:t>The gift of tongue</w:t>
      </w:r>
      <w:r w:rsidR="000D7E73" w:rsidRPr="00F51406">
        <w:rPr>
          <w:b/>
          <w:bCs/>
          <w:sz w:val="20"/>
          <w:szCs w:val="20"/>
        </w:rPr>
        <w:t>s</w:t>
      </w:r>
      <w:r w:rsidRPr="00F51406">
        <w:rPr>
          <w:b/>
          <w:bCs/>
          <w:sz w:val="20"/>
          <w:szCs w:val="20"/>
        </w:rPr>
        <w:t>.</w:t>
      </w:r>
    </w:p>
    <w:p w14:paraId="58D4C906" w14:textId="07579D8E" w:rsidR="00D1283E" w:rsidRPr="00F51406" w:rsidRDefault="00D1283E" w:rsidP="00D1283E">
      <w:pPr>
        <w:pStyle w:val="Prrafodelista"/>
        <w:numPr>
          <w:ilvl w:val="2"/>
          <w:numId w:val="1"/>
        </w:numPr>
        <w:rPr>
          <w:sz w:val="20"/>
          <w:szCs w:val="20"/>
        </w:rPr>
      </w:pPr>
      <w:r w:rsidRPr="00F51406">
        <w:rPr>
          <w:sz w:val="20"/>
          <w:szCs w:val="20"/>
        </w:rPr>
        <w:t>Paul's emphasis on the gift of tongues and its proper use implies that it was being misused by members of the Corinthian church, causing disorder and confusion in public worship (1 Cor. 14:23).</w:t>
      </w:r>
    </w:p>
    <w:p w14:paraId="7572276E" w14:textId="7DCE5454" w:rsidR="00D1283E" w:rsidRPr="00F51406" w:rsidRDefault="00D1283E" w:rsidP="00D1283E">
      <w:pPr>
        <w:pStyle w:val="Prrafodelista"/>
        <w:numPr>
          <w:ilvl w:val="2"/>
          <w:numId w:val="1"/>
        </w:numPr>
        <w:rPr>
          <w:sz w:val="20"/>
          <w:szCs w:val="20"/>
        </w:rPr>
      </w:pPr>
      <w:r w:rsidRPr="00F51406">
        <w:rPr>
          <w:sz w:val="20"/>
          <w:szCs w:val="20"/>
        </w:rPr>
        <w:t>The gift of tongues is the ability to speak human or angelic languages unknown to the person (1 Cor. 13:1). When this language is unknown to the listener, it needs interpretation (Acts 2:8; 1 Cor. 14:2, 13-14, 27-28).</w:t>
      </w:r>
    </w:p>
    <w:p w14:paraId="0EB3EDEE" w14:textId="74F01D46" w:rsidR="00D1283E" w:rsidRPr="00F51406" w:rsidRDefault="00D1283E" w:rsidP="00D1283E">
      <w:pPr>
        <w:pStyle w:val="Prrafodelista"/>
        <w:numPr>
          <w:ilvl w:val="2"/>
          <w:numId w:val="1"/>
        </w:numPr>
        <w:rPr>
          <w:sz w:val="20"/>
          <w:szCs w:val="20"/>
        </w:rPr>
      </w:pPr>
      <w:r w:rsidRPr="00F51406">
        <w:rPr>
          <w:sz w:val="20"/>
          <w:szCs w:val="20"/>
        </w:rPr>
        <w:t>Paul's desire that all should speak in tongues has been misinterpreted by those who think that we should all have that gift (1 Cor. 14:5).</w:t>
      </w:r>
    </w:p>
    <w:p w14:paraId="1F731C12" w14:textId="0ADC3C23" w:rsidR="00D1283E" w:rsidRPr="00F51406" w:rsidRDefault="00D1283E" w:rsidP="00D1283E">
      <w:pPr>
        <w:pStyle w:val="Prrafodelista"/>
        <w:numPr>
          <w:ilvl w:val="2"/>
          <w:numId w:val="1"/>
        </w:numPr>
        <w:rPr>
          <w:sz w:val="20"/>
          <w:szCs w:val="20"/>
        </w:rPr>
      </w:pPr>
      <w:r w:rsidRPr="00F51406">
        <w:rPr>
          <w:sz w:val="20"/>
          <w:szCs w:val="20"/>
        </w:rPr>
        <w:t>In reality, this longing encompasses all the gifts (1 Cor. 14:1). Paul had already made it clear that “to each one is given a manifestation of the Spirit for the common good” (1 Cor. 12:7</w:t>
      </w:r>
      <w:r w:rsidRPr="00F51406">
        <w:rPr>
          <w:sz w:val="16"/>
          <w:szCs w:val="16"/>
        </w:rPr>
        <w:t>)</w:t>
      </w:r>
      <w:r w:rsidRPr="00F51406">
        <w:rPr>
          <w:sz w:val="20"/>
          <w:szCs w:val="20"/>
        </w:rPr>
        <w:t>. Therefore, not everyone receives the same gifts.</w:t>
      </w:r>
    </w:p>
    <w:p w14:paraId="6F892B4B" w14:textId="522AAD1B" w:rsidR="00395C43" w:rsidRPr="00F51406" w:rsidRDefault="00D170BE" w:rsidP="00D170BE">
      <w:pPr>
        <w:pStyle w:val="Prrafodelista"/>
        <w:numPr>
          <w:ilvl w:val="1"/>
          <w:numId w:val="1"/>
        </w:numPr>
        <w:rPr>
          <w:b/>
          <w:bCs/>
          <w:sz w:val="20"/>
          <w:szCs w:val="20"/>
        </w:rPr>
      </w:pPr>
      <w:r w:rsidRPr="00F51406">
        <w:rPr>
          <w:b/>
          <w:bCs/>
          <w:sz w:val="20"/>
          <w:szCs w:val="20"/>
        </w:rPr>
        <w:t>The gift of prophecy.</w:t>
      </w:r>
    </w:p>
    <w:p w14:paraId="389DFE52" w14:textId="77CFCBBC" w:rsidR="00D1283E" w:rsidRPr="00F51406" w:rsidRDefault="004F4301" w:rsidP="004F4301">
      <w:pPr>
        <w:pStyle w:val="Prrafodelista"/>
        <w:numPr>
          <w:ilvl w:val="2"/>
          <w:numId w:val="1"/>
        </w:numPr>
        <w:rPr>
          <w:sz w:val="20"/>
          <w:szCs w:val="20"/>
        </w:rPr>
      </w:pPr>
      <w:r w:rsidRPr="00F51406">
        <w:rPr>
          <w:sz w:val="20"/>
          <w:szCs w:val="20"/>
        </w:rPr>
        <w:t>We must not limit the gift of prophecy to predicting future events. The primary use of the gift of prophecy is for edification, exhortation, and consolation (1 Cor. 14:3).</w:t>
      </w:r>
    </w:p>
    <w:p w14:paraId="3F2CDC64" w14:textId="03287652" w:rsidR="004F4301" w:rsidRPr="00F51406" w:rsidRDefault="004F4301" w:rsidP="004F4301">
      <w:pPr>
        <w:pStyle w:val="Prrafodelista"/>
        <w:numPr>
          <w:ilvl w:val="2"/>
          <w:numId w:val="1"/>
        </w:numPr>
        <w:rPr>
          <w:sz w:val="20"/>
          <w:szCs w:val="20"/>
        </w:rPr>
      </w:pPr>
      <w:r w:rsidRPr="00F51406">
        <w:rPr>
          <w:sz w:val="20"/>
          <w:szCs w:val="20"/>
        </w:rPr>
        <w:t>Paul highlights this gift above others (1 Cor. 14:1, 4, 22-25). But he also urges that it be used correctly so as not to create confusion: “but let everything be done decently and in order” (1 Cor. 14:40; see 1 Cor. 14:29-33).</w:t>
      </w:r>
    </w:p>
    <w:p w14:paraId="75592EBE" w14:textId="77777777" w:rsidR="004F4301" w:rsidRPr="00F51406" w:rsidRDefault="004F4301" w:rsidP="004F4301">
      <w:pPr>
        <w:pStyle w:val="Prrafodelista"/>
        <w:numPr>
          <w:ilvl w:val="2"/>
          <w:numId w:val="1"/>
        </w:numPr>
        <w:rPr>
          <w:sz w:val="20"/>
          <w:szCs w:val="20"/>
        </w:rPr>
      </w:pPr>
      <w:r w:rsidRPr="00F51406">
        <w:rPr>
          <w:sz w:val="20"/>
          <w:szCs w:val="20"/>
        </w:rPr>
        <w:t>As a characteristic gift of the remnant church, it had its special manifestation in the life and work of Ellen G. White (Rev. 12:17; 19:10).</w:t>
      </w:r>
    </w:p>
    <w:p w14:paraId="0BA17CA2" w14:textId="6EE28873" w:rsidR="004F4301" w:rsidRPr="00F51406" w:rsidRDefault="004F4301" w:rsidP="004F4301">
      <w:pPr>
        <w:pStyle w:val="Prrafodelista"/>
        <w:numPr>
          <w:ilvl w:val="2"/>
          <w:numId w:val="1"/>
        </w:numPr>
        <w:rPr>
          <w:sz w:val="20"/>
          <w:szCs w:val="20"/>
        </w:rPr>
      </w:pPr>
      <w:r w:rsidRPr="00F51406">
        <w:rPr>
          <w:sz w:val="20"/>
          <w:szCs w:val="20"/>
        </w:rPr>
        <w:t>How to recognize a true prophet?</w:t>
      </w:r>
    </w:p>
    <w:p w14:paraId="28E362CD" w14:textId="45C8BA1B" w:rsidR="004F4301" w:rsidRPr="00F51406" w:rsidRDefault="004F4301" w:rsidP="004F4301">
      <w:pPr>
        <w:pStyle w:val="Prrafodelista"/>
        <w:numPr>
          <w:ilvl w:val="3"/>
          <w:numId w:val="1"/>
        </w:numPr>
        <w:rPr>
          <w:sz w:val="20"/>
          <w:szCs w:val="20"/>
        </w:rPr>
      </w:pPr>
      <w:r w:rsidRPr="00F51406">
        <w:rPr>
          <w:sz w:val="20"/>
          <w:szCs w:val="20"/>
        </w:rPr>
        <w:t>The announced future events—if they are not conditional—must come to pass (Deut. 18:22; Jer. 28:8-9; Jonah 4:2)</w:t>
      </w:r>
    </w:p>
    <w:p w14:paraId="05C3558C" w14:textId="23410F0E" w:rsidR="004F4301" w:rsidRPr="00F51406" w:rsidRDefault="004F4301" w:rsidP="004F4301">
      <w:pPr>
        <w:pStyle w:val="Prrafodelista"/>
        <w:numPr>
          <w:ilvl w:val="3"/>
          <w:numId w:val="1"/>
        </w:numPr>
        <w:rPr>
          <w:sz w:val="20"/>
          <w:szCs w:val="20"/>
        </w:rPr>
      </w:pPr>
      <w:r w:rsidRPr="00F51406">
        <w:rPr>
          <w:sz w:val="20"/>
          <w:szCs w:val="20"/>
        </w:rPr>
        <w:t>His message must be in accordance with that of the earlier prophets (Deut. 13:1-3; Isa. 8:20)</w:t>
      </w:r>
    </w:p>
    <w:p w14:paraId="1AAAE60D" w14:textId="5976AA28" w:rsidR="004F4301" w:rsidRPr="00F51406" w:rsidRDefault="004F4301" w:rsidP="004F4301">
      <w:pPr>
        <w:pStyle w:val="Prrafodelista"/>
        <w:numPr>
          <w:ilvl w:val="3"/>
          <w:numId w:val="1"/>
        </w:numPr>
        <w:rPr>
          <w:sz w:val="20"/>
          <w:szCs w:val="20"/>
        </w:rPr>
      </w:pPr>
      <w:r w:rsidRPr="00F51406">
        <w:rPr>
          <w:sz w:val="20"/>
          <w:szCs w:val="20"/>
        </w:rPr>
        <w:t>He must bear witness to the incarnation of Jesus (1 John 4:1-3)</w:t>
      </w:r>
    </w:p>
    <w:p w14:paraId="31525FA7" w14:textId="294834E0" w:rsidR="004F4301" w:rsidRPr="00F51406" w:rsidRDefault="004F4301" w:rsidP="004F4301">
      <w:pPr>
        <w:pStyle w:val="Prrafodelista"/>
        <w:numPr>
          <w:ilvl w:val="3"/>
          <w:numId w:val="1"/>
        </w:numPr>
        <w:rPr>
          <w:sz w:val="20"/>
          <w:szCs w:val="20"/>
        </w:rPr>
      </w:pPr>
      <w:r w:rsidRPr="00F51406">
        <w:rPr>
          <w:sz w:val="20"/>
          <w:szCs w:val="20"/>
        </w:rPr>
        <w:t>His life must be in accordance with the biblical message he preaches (Mt. 7:15-20)</w:t>
      </w:r>
    </w:p>
    <w:sectPr w:rsidR="004F4301" w:rsidRPr="00F51406" w:rsidSect="002A0446">
      <w:pgSz w:w="11906" w:h="16838"/>
      <w:pgMar w:top="568"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35AFD"/>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30E3D29"/>
    <w:multiLevelType w:val="multilevel"/>
    <w:tmpl w:val="496C1F7C"/>
    <w:lvl w:ilvl="0">
      <w:start w:val="1"/>
      <w:numFmt w:val="bullet"/>
      <w:lvlText w:val="—"/>
      <w:lvlJc w:val="left"/>
      <w:pPr>
        <w:ind w:left="1068" w:hanging="360"/>
      </w:pPr>
      <w:rPr>
        <w:rFonts w:ascii="Calibri" w:hAnsi="Calibri" w:hint="default"/>
      </w:rPr>
    </w:lvl>
    <w:lvl w:ilvl="1">
      <w:start w:val="1"/>
      <w:numFmt w:val="bullet"/>
      <w:lvlRestart w:val="0"/>
      <w:lvlText w:val=""/>
      <w:lvlJc w:val="left"/>
      <w:pPr>
        <w:ind w:left="1428" w:hanging="360"/>
      </w:pPr>
      <w:rPr>
        <w:rFonts w:ascii="Wingdings" w:hAnsi="Wingdings" w:hint="default"/>
      </w:rPr>
    </w:lvl>
    <w:lvl w:ilvl="2">
      <w:start w:val="1"/>
      <w:numFmt w:val="bullet"/>
      <w:lvlText w:val="—"/>
      <w:lvlJc w:val="left"/>
      <w:pPr>
        <w:ind w:left="1788" w:hanging="360"/>
      </w:pPr>
      <w:rPr>
        <w:rFonts w:ascii="Calibri" w:hAnsi="Calibri"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num w:numId="1" w16cid:durableId="875123359">
    <w:abstractNumId w:val="0"/>
  </w:num>
  <w:num w:numId="2" w16cid:durableId="1262303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BE"/>
    <w:rsid w:val="00004746"/>
    <w:rsid w:val="000B2AC6"/>
    <w:rsid w:val="000B440E"/>
    <w:rsid w:val="000D3992"/>
    <w:rsid w:val="000D7E73"/>
    <w:rsid w:val="001E4AA8"/>
    <w:rsid w:val="002A0446"/>
    <w:rsid w:val="002A4AB8"/>
    <w:rsid w:val="003036B8"/>
    <w:rsid w:val="003176A0"/>
    <w:rsid w:val="003773D1"/>
    <w:rsid w:val="00395C43"/>
    <w:rsid w:val="003B735D"/>
    <w:rsid w:val="003D5E96"/>
    <w:rsid w:val="00410EAB"/>
    <w:rsid w:val="0044563A"/>
    <w:rsid w:val="004D5CB2"/>
    <w:rsid w:val="004F4301"/>
    <w:rsid w:val="004F6041"/>
    <w:rsid w:val="005C3DAD"/>
    <w:rsid w:val="00626D72"/>
    <w:rsid w:val="00636E91"/>
    <w:rsid w:val="006B286A"/>
    <w:rsid w:val="006D1F00"/>
    <w:rsid w:val="00711123"/>
    <w:rsid w:val="00736333"/>
    <w:rsid w:val="008349BC"/>
    <w:rsid w:val="00AB406A"/>
    <w:rsid w:val="00AF45A6"/>
    <w:rsid w:val="00BA3EAE"/>
    <w:rsid w:val="00BF154F"/>
    <w:rsid w:val="00C22FAD"/>
    <w:rsid w:val="00C46A68"/>
    <w:rsid w:val="00D1283E"/>
    <w:rsid w:val="00D170BE"/>
    <w:rsid w:val="00DE22EB"/>
    <w:rsid w:val="00F24F56"/>
    <w:rsid w:val="00F5140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CBF57"/>
  <w15:chartTrackingRefBased/>
  <w15:docId w15:val="{4AF83187-083A-4467-BEBF-8930FC15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lang w:val="en-US"/>
      <w14:ligatures w14:val="none"/>
    </w:rPr>
  </w:style>
  <w:style w:type="paragraph" w:styleId="Ttulo1">
    <w:name w:val="heading 1"/>
    <w:basedOn w:val="Normal"/>
    <w:next w:val="Normal"/>
    <w:link w:val="Ttulo1Car"/>
    <w:uiPriority w:val="9"/>
    <w:qFormat/>
    <w:rsid w:val="00D17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7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70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70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70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70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70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70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70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D170BE"/>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D170BE"/>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D170BE"/>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D170BE"/>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D170BE"/>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D170BE"/>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D170BE"/>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D170BE"/>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D170BE"/>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D17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70BE"/>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D170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70BE"/>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D170BE"/>
    <w:pPr>
      <w:spacing w:before="160"/>
      <w:jc w:val="center"/>
    </w:pPr>
    <w:rPr>
      <w:i/>
      <w:iCs/>
      <w:color w:val="404040" w:themeColor="text1" w:themeTint="BF"/>
    </w:rPr>
  </w:style>
  <w:style w:type="character" w:customStyle="1" w:styleId="CitaCar">
    <w:name w:val="Cita Car"/>
    <w:basedOn w:val="Fuentedeprrafopredeter"/>
    <w:link w:val="Cita"/>
    <w:uiPriority w:val="29"/>
    <w:rsid w:val="00D170BE"/>
    <w:rPr>
      <w:i/>
      <w:iCs/>
      <w:color w:val="404040" w:themeColor="text1" w:themeTint="BF"/>
      <w:kern w:val="0"/>
      <w:sz w:val="24"/>
      <w14:ligatures w14:val="none"/>
    </w:rPr>
  </w:style>
  <w:style w:type="paragraph" w:styleId="Prrafodelista">
    <w:name w:val="List Paragraph"/>
    <w:basedOn w:val="Normal"/>
    <w:uiPriority w:val="34"/>
    <w:qFormat/>
    <w:rsid w:val="00D170BE"/>
    <w:pPr>
      <w:ind w:left="720"/>
      <w:contextualSpacing/>
    </w:pPr>
  </w:style>
  <w:style w:type="character" w:styleId="nfasisintenso">
    <w:name w:val="Intense Emphasis"/>
    <w:basedOn w:val="Fuentedeprrafopredeter"/>
    <w:uiPriority w:val="21"/>
    <w:qFormat/>
    <w:rsid w:val="00D170BE"/>
    <w:rPr>
      <w:i/>
      <w:iCs/>
      <w:color w:val="0F4761" w:themeColor="accent1" w:themeShade="BF"/>
    </w:rPr>
  </w:style>
  <w:style w:type="paragraph" w:styleId="Citadestacada">
    <w:name w:val="Intense Quote"/>
    <w:basedOn w:val="Normal"/>
    <w:next w:val="Normal"/>
    <w:link w:val="CitadestacadaCar"/>
    <w:uiPriority w:val="30"/>
    <w:qFormat/>
    <w:rsid w:val="00D17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70BE"/>
    <w:rPr>
      <w:i/>
      <w:iCs/>
      <w:color w:val="0F4761" w:themeColor="accent1" w:themeShade="BF"/>
      <w:kern w:val="0"/>
      <w:sz w:val="24"/>
      <w14:ligatures w14:val="none"/>
    </w:rPr>
  </w:style>
  <w:style w:type="character" w:styleId="Referenciaintensa">
    <w:name w:val="Intense Reference"/>
    <w:basedOn w:val="Fuentedeprrafopredeter"/>
    <w:uiPriority w:val="32"/>
    <w:qFormat/>
    <w:rsid w:val="00D170BE"/>
    <w:rPr>
      <w:b/>
      <w:bCs/>
      <w:smallCaps/>
      <w:color w:val="0F4761" w:themeColor="accent1" w:themeShade="BF"/>
      <w:spacing w:val="5"/>
    </w:rPr>
  </w:style>
  <w:style w:type="paragraph" w:styleId="NormalWeb">
    <w:name w:val="Normal (Web)"/>
    <w:basedOn w:val="Normal"/>
    <w:uiPriority w:val="99"/>
    <w:semiHidden/>
    <w:unhideWhenUsed/>
    <w:rsid w:val="0044563A"/>
    <w:pPr>
      <w:spacing w:before="100" w:beforeAutospacing="1" w:after="100" w:afterAutospacing="1" w:line="240" w:lineRule="auto"/>
    </w:pPr>
    <w:rPr>
      <w:rFonts w:ascii="Times New Roman" w:eastAsia="Times New Roman" w:hAnsi="Times New Roman"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98BDF-2033-4E3A-9363-9979ACD2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3378</Characters>
  <Application>Microsoft Office Word</Application>
  <DocSecurity>0</DocSecurity>
  <Lines>28</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2026-07-12T07:47:00Z</cp:lastPrinted>
  <dcterms:created xsi:type="dcterms:W3CDTF">2026-07-22T18:20:00Z</dcterms:created>
  <dcterms:modified xsi:type="dcterms:W3CDTF">2026-07-22T18:20:00Z</dcterms:modified>
</cp:coreProperties>
</file>