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97891" w14:textId="77777777" w:rsidR="00C8003F" w:rsidRPr="00C10D39" w:rsidRDefault="00C8003F" w:rsidP="00C8003F">
      <w:pPr>
        <w:pStyle w:val="Prrafodelista"/>
        <w:numPr>
          <w:ilvl w:val="0"/>
          <w:numId w:val="1"/>
        </w:numPr>
        <w:rPr>
          <w:b/>
          <w:bCs/>
          <w:szCs w:val="24"/>
        </w:rPr>
      </w:pPr>
      <w:r w:rsidRPr="00C8003F">
        <w:rPr>
          <w:b/>
          <w:bCs/>
          <w:szCs w:val="24"/>
        </w:rPr>
        <w:t>Salmo 122: El Santuario Celestial.</w:t>
      </w:r>
    </w:p>
    <w:p w14:paraId="60164F20" w14:textId="2DD562EE" w:rsidR="00A642DF" w:rsidRPr="00C10D39" w:rsidRDefault="00A642DF" w:rsidP="00A642DF">
      <w:pPr>
        <w:pStyle w:val="Prrafodelista"/>
        <w:numPr>
          <w:ilvl w:val="1"/>
          <w:numId w:val="1"/>
        </w:numPr>
        <w:rPr>
          <w:szCs w:val="24"/>
        </w:rPr>
      </w:pPr>
      <w:r w:rsidRPr="00C10D39">
        <w:rPr>
          <w:szCs w:val="24"/>
        </w:rPr>
        <w:t>Al estudiar los detalles del Santuario y el Templo de Israel vemos cómo se relacionaba Dios con su pueblo, y la forma en la que se enseñaba el Plan de Redención.</w:t>
      </w:r>
    </w:p>
    <w:p w14:paraId="4103C0A9" w14:textId="2134CC30" w:rsidR="00A642DF" w:rsidRPr="00C10D39" w:rsidRDefault="00A642DF" w:rsidP="00A642DF">
      <w:pPr>
        <w:pStyle w:val="Prrafodelista"/>
        <w:numPr>
          <w:ilvl w:val="1"/>
          <w:numId w:val="1"/>
        </w:numPr>
        <w:rPr>
          <w:szCs w:val="24"/>
        </w:rPr>
      </w:pPr>
      <w:r w:rsidRPr="00C10D39">
        <w:rPr>
          <w:szCs w:val="24"/>
        </w:rPr>
        <w:t>El salmo 122 apunta proféticamente a la reunión de los redimidos en la Nueva Jerusalén, para adorar en el Santuario real, el Celestial (Heb. 8:1-2; 9:11-12, 24; Ap. 14:17; 21:3).</w:t>
      </w:r>
    </w:p>
    <w:p w14:paraId="44E21880" w14:textId="18264EE3" w:rsidR="00A642DF" w:rsidRPr="00C10D39" w:rsidRDefault="00A642DF" w:rsidP="00A642DF">
      <w:pPr>
        <w:pStyle w:val="Prrafodelista"/>
        <w:numPr>
          <w:ilvl w:val="1"/>
          <w:numId w:val="1"/>
        </w:numPr>
        <w:rPr>
          <w:szCs w:val="24"/>
        </w:rPr>
      </w:pPr>
      <w:r w:rsidRPr="00C10D39">
        <w:rPr>
          <w:szCs w:val="24"/>
        </w:rPr>
        <w:t>Apocalipsis ofrece varias visiones de este Santuario Celestial (del cual está excluido el Atrio, que representa a la Tierra (Ap. 11:2):</w:t>
      </w:r>
    </w:p>
    <w:p w14:paraId="4BBEB597" w14:textId="7AAE52B0" w:rsidR="00A642DF" w:rsidRPr="00A642DF" w:rsidRDefault="00A642DF" w:rsidP="00A642DF">
      <w:pPr>
        <w:pStyle w:val="Prrafodelista"/>
        <w:numPr>
          <w:ilvl w:val="2"/>
          <w:numId w:val="1"/>
        </w:numPr>
        <w:rPr>
          <w:szCs w:val="24"/>
        </w:rPr>
      </w:pPr>
      <w:r w:rsidRPr="00A642DF">
        <w:rPr>
          <w:szCs w:val="24"/>
        </w:rPr>
        <w:t>EL CANDELABRO</w:t>
      </w:r>
      <w:r w:rsidRPr="00C10D39">
        <w:rPr>
          <w:szCs w:val="24"/>
        </w:rPr>
        <w:t xml:space="preserve">: </w:t>
      </w:r>
      <w:r w:rsidRPr="00A642DF">
        <w:rPr>
          <w:szCs w:val="24"/>
        </w:rPr>
        <w:t>Apocalipsis 4:5</w:t>
      </w:r>
    </w:p>
    <w:p w14:paraId="0C3319F1" w14:textId="17349B2F" w:rsidR="00A642DF" w:rsidRPr="00A642DF" w:rsidRDefault="00A642DF" w:rsidP="00A642DF">
      <w:pPr>
        <w:pStyle w:val="Prrafodelista"/>
        <w:numPr>
          <w:ilvl w:val="2"/>
          <w:numId w:val="1"/>
        </w:numPr>
        <w:rPr>
          <w:szCs w:val="24"/>
        </w:rPr>
      </w:pPr>
      <w:r w:rsidRPr="00A642DF">
        <w:rPr>
          <w:szCs w:val="24"/>
        </w:rPr>
        <w:t>EL ALTAR DE ORO</w:t>
      </w:r>
      <w:r w:rsidRPr="00C10D39">
        <w:rPr>
          <w:szCs w:val="24"/>
        </w:rPr>
        <w:t xml:space="preserve">: </w:t>
      </w:r>
      <w:r w:rsidRPr="00A642DF">
        <w:rPr>
          <w:szCs w:val="24"/>
        </w:rPr>
        <w:t>Apocalipsis 8:3; 14:18; 16:7</w:t>
      </w:r>
    </w:p>
    <w:p w14:paraId="45A542DB" w14:textId="037E7F09" w:rsidR="00A642DF" w:rsidRPr="00C10D39" w:rsidRDefault="00A642DF" w:rsidP="00A642DF">
      <w:pPr>
        <w:pStyle w:val="Prrafodelista"/>
        <w:numPr>
          <w:ilvl w:val="2"/>
          <w:numId w:val="1"/>
        </w:numPr>
        <w:rPr>
          <w:szCs w:val="24"/>
        </w:rPr>
      </w:pPr>
      <w:r w:rsidRPr="00A642DF">
        <w:rPr>
          <w:szCs w:val="24"/>
        </w:rPr>
        <w:t>EL ARCA</w:t>
      </w:r>
      <w:r w:rsidRPr="00C10D39">
        <w:rPr>
          <w:szCs w:val="24"/>
        </w:rPr>
        <w:t>: Apocalipsis 11:19</w:t>
      </w:r>
    </w:p>
    <w:p w14:paraId="6B2161B5" w14:textId="5A081193" w:rsidR="00A642DF" w:rsidRPr="00C8003F" w:rsidRDefault="00226F9C" w:rsidP="00226F9C">
      <w:pPr>
        <w:pStyle w:val="Prrafodelista"/>
        <w:numPr>
          <w:ilvl w:val="1"/>
          <w:numId w:val="1"/>
        </w:numPr>
        <w:rPr>
          <w:szCs w:val="24"/>
        </w:rPr>
      </w:pPr>
      <w:r w:rsidRPr="00C10D39">
        <w:rPr>
          <w:szCs w:val="24"/>
        </w:rPr>
        <w:t>Al examinar el salmo 122, podemos apreciar también otros temas muy vinculados al mensaje de Apocalipsis: la alabanza (v. 4); el juicio (v. 5); la paz (v. 6, 8); la seguridad (v. 7).</w:t>
      </w:r>
    </w:p>
    <w:p w14:paraId="7D130181" w14:textId="77777777" w:rsidR="00C8003F" w:rsidRPr="00C10D39" w:rsidRDefault="00C8003F" w:rsidP="00C8003F">
      <w:pPr>
        <w:pStyle w:val="Prrafodelista"/>
        <w:numPr>
          <w:ilvl w:val="0"/>
          <w:numId w:val="1"/>
        </w:numPr>
        <w:rPr>
          <w:b/>
          <w:bCs/>
          <w:szCs w:val="24"/>
        </w:rPr>
      </w:pPr>
      <w:r w:rsidRPr="00C8003F">
        <w:rPr>
          <w:b/>
          <w:bCs/>
          <w:szCs w:val="24"/>
        </w:rPr>
        <w:t>Salmos 15 y 24: El Monte Santo.</w:t>
      </w:r>
    </w:p>
    <w:p w14:paraId="69693EA0" w14:textId="68480E06" w:rsidR="00226F9C" w:rsidRPr="00C10D39" w:rsidRDefault="00854DC7" w:rsidP="00854DC7">
      <w:pPr>
        <w:pStyle w:val="Prrafodelista"/>
        <w:numPr>
          <w:ilvl w:val="1"/>
          <w:numId w:val="1"/>
        </w:numPr>
        <w:rPr>
          <w:szCs w:val="24"/>
        </w:rPr>
      </w:pPr>
      <w:r w:rsidRPr="00C10D39">
        <w:rPr>
          <w:szCs w:val="24"/>
        </w:rPr>
        <w:t>El monte de Sion ocupaba parte de la ciudad de Jerusalén y, por extensión, se usó para nombrar la colina donde se estableció el Templo (originalmente llamado monte Moria). También es llamado monte santo (Sal. 2:6), pues es símbolo del trono de Dios (Is. 8:18).</w:t>
      </w:r>
    </w:p>
    <w:p w14:paraId="2BC0EAEF" w14:textId="5C3017AC" w:rsidR="00854DC7" w:rsidRPr="00C10D39" w:rsidRDefault="00854DC7" w:rsidP="00854DC7">
      <w:pPr>
        <w:pStyle w:val="Prrafodelista"/>
        <w:numPr>
          <w:ilvl w:val="1"/>
          <w:numId w:val="1"/>
        </w:numPr>
        <w:rPr>
          <w:szCs w:val="24"/>
        </w:rPr>
      </w:pPr>
      <w:r w:rsidRPr="00C10D39">
        <w:rPr>
          <w:szCs w:val="24"/>
        </w:rPr>
        <w:t>En los escritos proféticos se usa para definir el lugar donde se reunirán los redimidos (Is. 37:32; Sal. 74:2; Ap. 14:1).</w:t>
      </w:r>
    </w:p>
    <w:p w14:paraId="201ACD5D" w14:textId="1CAE9A75" w:rsidR="00854DC7" w:rsidRPr="00C10D39" w:rsidRDefault="00854DC7" w:rsidP="00854DC7">
      <w:pPr>
        <w:pStyle w:val="Prrafodelista"/>
        <w:numPr>
          <w:ilvl w:val="1"/>
          <w:numId w:val="1"/>
        </w:numPr>
        <w:rPr>
          <w:szCs w:val="24"/>
        </w:rPr>
      </w:pPr>
      <w:r w:rsidRPr="00C10D39">
        <w:rPr>
          <w:szCs w:val="24"/>
        </w:rPr>
        <w:t>En los salmos 15 y 24 se definen las características de los que sean dignos de estar ahí:</w:t>
      </w:r>
    </w:p>
    <w:p w14:paraId="346308EF" w14:textId="77777777" w:rsidR="00854DC7" w:rsidRPr="00854DC7" w:rsidRDefault="00854DC7" w:rsidP="00854DC7">
      <w:pPr>
        <w:pStyle w:val="Prrafodelista"/>
        <w:numPr>
          <w:ilvl w:val="2"/>
          <w:numId w:val="1"/>
        </w:numPr>
        <w:rPr>
          <w:szCs w:val="24"/>
        </w:rPr>
      </w:pPr>
      <w:r w:rsidRPr="00854DC7">
        <w:rPr>
          <w:szCs w:val="24"/>
        </w:rPr>
        <w:t>El que anda en integridad, hace justicia y no miente (Sal. 15:2)</w:t>
      </w:r>
    </w:p>
    <w:p w14:paraId="565A7F7B" w14:textId="77777777" w:rsidR="00854DC7" w:rsidRPr="00854DC7" w:rsidRDefault="00854DC7" w:rsidP="00854DC7">
      <w:pPr>
        <w:pStyle w:val="Prrafodelista"/>
        <w:numPr>
          <w:ilvl w:val="2"/>
          <w:numId w:val="1"/>
        </w:numPr>
        <w:rPr>
          <w:szCs w:val="24"/>
        </w:rPr>
      </w:pPr>
      <w:r w:rsidRPr="00854DC7">
        <w:rPr>
          <w:szCs w:val="24"/>
        </w:rPr>
        <w:t>El que no calumnia, no hace mal al prójimo, ni permite que le hablen mal de él (Sal. 15:3)</w:t>
      </w:r>
    </w:p>
    <w:p w14:paraId="68D97689" w14:textId="77777777" w:rsidR="00854DC7" w:rsidRPr="00854DC7" w:rsidRDefault="00854DC7" w:rsidP="00854DC7">
      <w:pPr>
        <w:pStyle w:val="Prrafodelista"/>
        <w:numPr>
          <w:ilvl w:val="2"/>
          <w:numId w:val="1"/>
        </w:numPr>
        <w:rPr>
          <w:szCs w:val="24"/>
        </w:rPr>
      </w:pPr>
      <w:r w:rsidRPr="00854DC7">
        <w:rPr>
          <w:szCs w:val="24"/>
        </w:rPr>
        <w:t>El que honra a los que temen a Dios y no cambia, aunque salga perjudicado (Sal. 15:4)</w:t>
      </w:r>
    </w:p>
    <w:p w14:paraId="79A55256" w14:textId="77777777" w:rsidR="00854DC7" w:rsidRPr="00854DC7" w:rsidRDefault="00854DC7" w:rsidP="00854DC7">
      <w:pPr>
        <w:pStyle w:val="Prrafodelista"/>
        <w:numPr>
          <w:ilvl w:val="2"/>
          <w:numId w:val="1"/>
        </w:numPr>
        <w:rPr>
          <w:szCs w:val="24"/>
        </w:rPr>
      </w:pPr>
      <w:r w:rsidRPr="00854DC7">
        <w:rPr>
          <w:szCs w:val="24"/>
        </w:rPr>
        <w:t>El que no ama el dinero ni puede ser sobornado (Sal. 15:5)</w:t>
      </w:r>
    </w:p>
    <w:p w14:paraId="2D26716D" w14:textId="5654B503" w:rsidR="00854DC7" w:rsidRPr="00C10D39" w:rsidRDefault="00854DC7" w:rsidP="00854DC7">
      <w:pPr>
        <w:pStyle w:val="Prrafodelista"/>
        <w:numPr>
          <w:ilvl w:val="2"/>
          <w:numId w:val="1"/>
        </w:numPr>
        <w:rPr>
          <w:szCs w:val="24"/>
        </w:rPr>
      </w:pPr>
      <w:r w:rsidRPr="00C10D39">
        <w:rPr>
          <w:szCs w:val="24"/>
        </w:rPr>
        <w:t>El limpio de manos y puro de corazón, que no es orgulloso ni mentiroso (Sal. 24:4)</w:t>
      </w:r>
    </w:p>
    <w:p w14:paraId="62ECB2B3" w14:textId="0D6A61A3" w:rsidR="00854DC7" w:rsidRPr="00C8003F" w:rsidRDefault="00854DC7" w:rsidP="00854DC7">
      <w:pPr>
        <w:pStyle w:val="Prrafodelista"/>
        <w:numPr>
          <w:ilvl w:val="1"/>
          <w:numId w:val="1"/>
        </w:numPr>
        <w:rPr>
          <w:szCs w:val="24"/>
        </w:rPr>
      </w:pPr>
      <w:r w:rsidRPr="00C10D39">
        <w:rPr>
          <w:szCs w:val="24"/>
        </w:rPr>
        <w:t>Está claro que ninguno de nosotros, por nosotros mismos, cumplimos todos estos requisitos. Por lo tanto, solo podremos estar allí por la gracia y el poder de Jesús. ¡Alabado sea!</w:t>
      </w:r>
    </w:p>
    <w:p w14:paraId="5D2D9FDB" w14:textId="77777777" w:rsidR="00C8003F" w:rsidRPr="00C10D39" w:rsidRDefault="00C8003F" w:rsidP="00C8003F">
      <w:pPr>
        <w:pStyle w:val="Prrafodelista"/>
        <w:numPr>
          <w:ilvl w:val="0"/>
          <w:numId w:val="1"/>
        </w:numPr>
        <w:rPr>
          <w:b/>
          <w:bCs/>
          <w:szCs w:val="24"/>
        </w:rPr>
      </w:pPr>
      <w:r w:rsidRPr="00C8003F">
        <w:rPr>
          <w:b/>
          <w:bCs/>
          <w:szCs w:val="24"/>
        </w:rPr>
        <w:t>Salmo 119: El Nombre de Dios.</w:t>
      </w:r>
    </w:p>
    <w:p w14:paraId="7D3DC40C" w14:textId="32BC470D" w:rsidR="009241C6" w:rsidRPr="00C10D39" w:rsidRDefault="009241C6" w:rsidP="009241C6">
      <w:pPr>
        <w:pStyle w:val="Prrafodelista"/>
        <w:numPr>
          <w:ilvl w:val="1"/>
          <w:numId w:val="1"/>
        </w:numPr>
        <w:rPr>
          <w:szCs w:val="24"/>
        </w:rPr>
      </w:pPr>
      <w:r w:rsidRPr="00C10D39">
        <w:rPr>
          <w:szCs w:val="24"/>
        </w:rPr>
        <w:t>El monte Sion está íntimamente ligado también al nombre de Dios (Is. 18:7; Ap. 14:1). El nombre, especialmente en los tiempos bíblicos, estaba asociado al carácter de la persona (Gn. 32:28).</w:t>
      </w:r>
    </w:p>
    <w:p w14:paraId="313A8EF2" w14:textId="3260D95B" w:rsidR="009241C6" w:rsidRPr="00C10D39" w:rsidRDefault="009241C6" w:rsidP="009241C6">
      <w:pPr>
        <w:pStyle w:val="Prrafodelista"/>
        <w:numPr>
          <w:ilvl w:val="1"/>
          <w:numId w:val="1"/>
        </w:numPr>
        <w:rPr>
          <w:szCs w:val="24"/>
        </w:rPr>
      </w:pPr>
      <w:r w:rsidRPr="00C10D39">
        <w:rPr>
          <w:szCs w:val="24"/>
        </w:rPr>
        <w:t xml:space="preserve">Por lo tanto, el nombre de Dios, inscrito en la frente de los redimidos, va más allá de las cuatro letras hebreas que lo definen: </w:t>
      </w:r>
      <w:r w:rsidRPr="00C10D39">
        <w:rPr>
          <w:rFonts w:hint="cs"/>
          <w:szCs w:val="24"/>
          <w:rtl/>
          <w:lang w:bidi="he-IL"/>
        </w:rPr>
        <w:t>יהוה</w:t>
      </w:r>
      <w:r w:rsidRPr="00C10D39">
        <w:rPr>
          <w:szCs w:val="24"/>
        </w:rPr>
        <w:t xml:space="preserve"> (YVHV).</w:t>
      </w:r>
    </w:p>
    <w:p w14:paraId="421891FF" w14:textId="3FE34791" w:rsidR="009241C6" w:rsidRPr="00C10D39" w:rsidRDefault="009241C6" w:rsidP="009241C6">
      <w:pPr>
        <w:pStyle w:val="Prrafodelista"/>
        <w:numPr>
          <w:ilvl w:val="1"/>
          <w:numId w:val="1"/>
        </w:numPr>
        <w:rPr>
          <w:szCs w:val="24"/>
        </w:rPr>
      </w:pPr>
      <w:r w:rsidRPr="00C10D39">
        <w:rPr>
          <w:szCs w:val="24"/>
        </w:rPr>
        <w:t>El nombre de Dios es su carácter, único e irrepetible: “YO SOY EL QUE SOY” (Éx. 3:14). Su nombre –que es Su carácter–, es Su gloria y Su bondad (Éx. 33:18-19).</w:t>
      </w:r>
    </w:p>
    <w:p w14:paraId="04085A61" w14:textId="5A97F0F0" w:rsidR="009241C6" w:rsidRPr="00C10D39" w:rsidRDefault="009241C6" w:rsidP="009241C6">
      <w:pPr>
        <w:pStyle w:val="Prrafodelista"/>
        <w:numPr>
          <w:ilvl w:val="1"/>
          <w:numId w:val="1"/>
        </w:numPr>
        <w:rPr>
          <w:szCs w:val="24"/>
        </w:rPr>
      </w:pPr>
      <w:r w:rsidRPr="00C10D39">
        <w:rPr>
          <w:szCs w:val="24"/>
        </w:rPr>
        <w:t>Cuando el salmista evocaba el nombre de Dios (meditaba en su carácter), era invadido por el deseo de cumplir la Ley de Dios (Sal. 119:55 NVI).</w:t>
      </w:r>
    </w:p>
    <w:p w14:paraId="08428DCF" w14:textId="2229A0C7" w:rsidR="009241C6" w:rsidRPr="00C8003F" w:rsidRDefault="009241C6" w:rsidP="009241C6">
      <w:pPr>
        <w:pStyle w:val="Prrafodelista"/>
        <w:numPr>
          <w:ilvl w:val="1"/>
          <w:numId w:val="1"/>
        </w:numPr>
        <w:rPr>
          <w:szCs w:val="24"/>
        </w:rPr>
      </w:pPr>
      <w:r w:rsidRPr="00C10D39">
        <w:rPr>
          <w:szCs w:val="24"/>
        </w:rPr>
        <w:t>¿Por qué? Porque la Ley de Dios es una transcripción de su carácter. El nombre de Dios será inscrito en la frente de aquellos que amen a Dios, y deseen obedecer su Ley.</w:t>
      </w:r>
    </w:p>
    <w:p w14:paraId="3A5A8746" w14:textId="77777777" w:rsidR="00C8003F" w:rsidRPr="00C10D39" w:rsidRDefault="00C8003F" w:rsidP="00C8003F">
      <w:pPr>
        <w:pStyle w:val="Prrafodelista"/>
        <w:numPr>
          <w:ilvl w:val="0"/>
          <w:numId w:val="1"/>
        </w:numPr>
        <w:rPr>
          <w:b/>
          <w:bCs/>
          <w:szCs w:val="24"/>
        </w:rPr>
      </w:pPr>
      <w:r w:rsidRPr="00C8003F">
        <w:rPr>
          <w:b/>
          <w:bCs/>
          <w:szCs w:val="24"/>
        </w:rPr>
        <w:t>Salmo 5: Los redimidos.</w:t>
      </w:r>
    </w:p>
    <w:p w14:paraId="006D7CD2" w14:textId="6F448499" w:rsidR="009241C6" w:rsidRPr="00C10D39" w:rsidRDefault="009241C6" w:rsidP="009241C6">
      <w:pPr>
        <w:pStyle w:val="Prrafodelista"/>
        <w:numPr>
          <w:ilvl w:val="1"/>
          <w:numId w:val="1"/>
        </w:numPr>
        <w:rPr>
          <w:szCs w:val="24"/>
        </w:rPr>
      </w:pPr>
      <w:r w:rsidRPr="00C10D39">
        <w:rPr>
          <w:szCs w:val="24"/>
        </w:rPr>
        <w:t>El salmo 5 muestra un agudo contraste entre aquellos que aceptan a Dios y los que lo rechazan. Este salmo anticipa la definición de los dos grupos enfrentados en el tiempo del fin: los que reciben el nombre de Dios, o el de la bestia (Ap. 13 y 14).</w:t>
      </w:r>
    </w:p>
    <w:tbl>
      <w:tblPr>
        <w:tblStyle w:val="Tablaconcuadrcula1clara"/>
        <w:tblW w:w="0" w:type="auto"/>
        <w:jc w:val="center"/>
        <w:tblLook w:val="0420" w:firstRow="1" w:lastRow="0" w:firstColumn="0" w:lastColumn="0" w:noHBand="0" w:noVBand="1"/>
      </w:tblPr>
      <w:tblGrid>
        <w:gridCol w:w="3740"/>
        <w:gridCol w:w="6036"/>
      </w:tblGrid>
      <w:tr w:rsidR="009241C6" w:rsidRPr="00C10D39" w14:paraId="018F6612" w14:textId="77777777" w:rsidTr="00C10D39">
        <w:trPr>
          <w:cnfStyle w:val="100000000000" w:firstRow="1" w:lastRow="0" w:firstColumn="0" w:lastColumn="0" w:oddVBand="0" w:evenVBand="0" w:oddHBand="0" w:evenHBand="0" w:firstRowFirstColumn="0" w:firstRowLastColumn="0" w:lastRowFirstColumn="0" w:lastRowLastColumn="0"/>
          <w:jc w:val="center"/>
        </w:trPr>
        <w:tc>
          <w:tcPr>
            <w:tcW w:w="3740" w:type="dxa"/>
          </w:tcPr>
          <w:p w14:paraId="4883C679" w14:textId="4BFDF416" w:rsidR="009241C6" w:rsidRPr="00C10D39" w:rsidRDefault="009241C6" w:rsidP="009241C6">
            <w:pPr>
              <w:jc w:val="center"/>
              <w:rPr>
                <w:szCs w:val="24"/>
              </w:rPr>
            </w:pPr>
            <w:r w:rsidRPr="00C10D39">
              <w:rPr>
                <w:szCs w:val="24"/>
              </w:rPr>
              <w:t>EL NOMBRE DE LA BESTIA</w:t>
            </w:r>
          </w:p>
        </w:tc>
        <w:tc>
          <w:tcPr>
            <w:tcW w:w="6036" w:type="dxa"/>
          </w:tcPr>
          <w:p w14:paraId="0261EB60" w14:textId="227EEBF5" w:rsidR="009241C6" w:rsidRPr="00C10D39" w:rsidRDefault="009241C6" w:rsidP="009241C6">
            <w:pPr>
              <w:jc w:val="center"/>
              <w:rPr>
                <w:szCs w:val="24"/>
              </w:rPr>
            </w:pPr>
            <w:r w:rsidRPr="00C10D39">
              <w:rPr>
                <w:szCs w:val="24"/>
              </w:rPr>
              <w:t>EL NOMBRE DE DIOS</w:t>
            </w:r>
          </w:p>
        </w:tc>
      </w:tr>
      <w:tr w:rsidR="009241C6" w:rsidRPr="00C10D39" w14:paraId="45792BE5" w14:textId="77777777" w:rsidTr="00C10D39">
        <w:trPr>
          <w:jc w:val="center"/>
        </w:trPr>
        <w:tc>
          <w:tcPr>
            <w:tcW w:w="3740" w:type="dxa"/>
          </w:tcPr>
          <w:p w14:paraId="754B69C0" w14:textId="67F51CE4" w:rsidR="009241C6" w:rsidRPr="00C10D39" w:rsidRDefault="009241C6" w:rsidP="009241C6">
            <w:pPr>
              <w:rPr>
                <w:szCs w:val="24"/>
              </w:rPr>
            </w:pPr>
            <w:r w:rsidRPr="009241C6">
              <w:rPr>
                <w:szCs w:val="24"/>
              </w:rPr>
              <w:t>No habitarán con Dios (Sal. 5:4)</w:t>
            </w:r>
          </w:p>
        </w:tc>
        <w:tc>
          <w:tcPr>
            <w:tcW w:w="6036" w:type="dxa"/>
          </w:tcPr>
          <w:p w14:paraId="6924D7D6" w14:textId="50E5B4CA" w:rsidR="009241C6" w:rsidRPr="00C10D39" w:rsidRDefault="009241C6" w:rsidP="009241C6">
            <w:pPr>
              <w:rPr>
                <w:szCs w:val="24"/>
              </w:rPr>
            </w:pPr>
            <w:r w:rsidRPr="009241C6">
              <w:rPr>
                <w:szCs w:val="24"/>
              </w:rPr>
              <w:t>Habitarán con Dios (Ap. 14:1)</w:t>
            </w:r>
          </w:p>
        </w:tc>
      </w:tr>
      <w:tr w:rsidR="009241C6" w:rsidRPr="00C10D39" w14:paraId="11F1C97E" w14:textId="77777777" w:rsidTr="00C10D39">
        <w:trPr>
          <w:jc w:val="center"/>
        </w:trPr>
        <w:tc>
          <w:tcPr>
            <w:tcW w:w="3740" w:type="dxa"/>
          </w:tcPr>
          <w:p w14:paraId="5495D365" w14:textId="293CA013" w:rsidR="009241C6" w:rsidRPr="00C10D39" w:rsidRDefault="009241C6" w:rsidP="009241C6">
            <w:pPr>
              <w:rPr>
                <w:szCs w:val="24"/>
              </w:rPr>
            </w:pPr>
            <w:r w:rsidRPr="009241C6">
              <w:rPr>
                <w:szCs w:val="24"/>
              </w:rPr>
              <w:t>Adoran a la bestia (Ap. 13:8)</w:t>
            </w:r>
          </w:p>
        </w:tc>
        <w:tc>
          <w:tcPr>
            <w:tcW w:w="6036" w:type="dxa"/>
          </w:tcPr>
          <w:p w14:paraId="12DBB66A" w14:textId="2A6CDEFC" w:rsidR="009241C6" w:rsidRPr="00C10D39" w:rsidRDefault="009241C6" w:rsidP="009241C6">
            <w:pPr>
              <w:rPr>
                <w:szCs w:val="24"/>
              </w:rPr>
            </w:pPr>
            <w:r w:rsidRPr="009241C6">
              <w:rPr>
                <w:szCs w:val="24"/>
              </w:rPr>
              <w:t>Adoran a Dios (Sal. 5:7)</w:t>
            </w:r>
          </w:p>
        </w:tc>
      </w:tr>
      <w:tr w:rsidR="009241C6" w:rsidRPr="00C10D39" w14:paraId="5FC489B7" w14:textId="77777777" w:rsidTr="00C10D39">
        <w:trPr>
          <w:jc w:val="center"/>
        </w:trPr>
        <w:tc>
          <w:tcPr>
            <w:tcW w:w="3740" w:type="dxa"/>
          </w:tcPr>
          <w:p w14:paraId="03CB971B" w14:textId="4BC05304" w:rsidR="009241C6" w:rsidRPr="00C10D39" w:rsidRDefault="009241C6" w:rsidP="009241C6">
            <w:pPr>
              <w:rPr>
                <w:szCs w:val="24"/>
              </w:rPr>
            </w:pPr>
            <w:r w:rsidRPr="009241C6">
              <w:rPr>
                <w:szCs w:val="24"/>
              </w:rPr>
              <w:t>Son mentirosos (Sal. 5:9)</w:t>
            </w:r>
          </w:p>
        </w:tc>
        <w:tc>
          <w:tcPr>
            <w:tcW w:w="6036" w:type="dxa"/>
          </w:tcPr>
          <w:p w14:paraId="3470A05B" w14:textId="705D751A" w:rsidR="009241C6" w:rsidRPr="00C10D39" w:rsidRDefault="009241C6" w:rsidP="009241C6">
            <w:pPr>
              <w:rPr>
                <w:szCs w:val="24"/>
              </w:rPr>
            </w:pPr>
            <w:r w:rsidRPr="009241C6">
              <w:rPr>
                <w:szCs w:val="24"/>
              </w:rPr>
              <w:t>No mienten (Ap. 14:5)</w:t>
            </w:r>
          </w:p>
        </w:tc>
      </w:tr>
      <w:tr w:rsidR="009241C6" w:rsidRPr="00C10D39" w14:paraId="1CD9C830" w14:textId="77777777" w:rsidTr="00C10D39">
        <w:trPr>
          <w:jc w:val="center"/>
        </w:trPr>
        <w:tc>
          <w:tcPr>
            <w:tcW w:w="3740" w:type="dxa"/>
          </w:tcPr>
          <w:p w14:paraId="11E41656" w14:textId="562DE504" w:rsidR="009241C6" w:rsidRPr="00C10D39" w:rsidRDefault="009241C6" w:rsidP="009241C6">
            <w:pPr>
              <w:rPr>
                <w:szCs w:val="24"/>
              </w:rPr>
            </w:pPr>
            <w:r w:rsidRPr="009241C6">
              <w:rPr>
                <w:szCs w:val="24"/>
              </w:rPr>
              <w:t>Serán castigados (Sal. 5:10)</w:t>
            </w:r>
          </w:p>
        </w:tc>
        <w:tc>
          <w:tcPr>
            <w:tcW w:w="6036" w:type="dxa"/>
          </w:tcPr>
          <w:p w14:paraId="7639A772" w14:textId="3D1BB6CA" w:rsidR="009241C6" w:rsidRPr="00C10D39" w:rsidRDefault="009241C6" w:rsidP="009241C6">
            <w:pPr>
              <w:rPr>
                <w:szCs w:val="24"/>
              </w:rPr>
            </w:pPr>
            <w:r w:rsidRPr="009241C6">
              <w:rPr>
                <w:szCs w:val="24"/>
              </w:rPr>
              <w:t>Serán redimidos (Ap. 14:4)</w:t>
            </w:r>
          </w:p>
        </w:tc>
      </w:tr>
      <w:tr w:rsidR="009241C6" w:rsidRPr="00C10D39" w14:paraId="7C3F132A" w14:textId="77777777" w:rsidTr="00C10D39">
        <w:trPr>
          <w:jc w:val="center"/>
        </w:trPr>
        <w:tc>
          <w:tcPr>
            <w:tcW w:w="3740" w:type="dxa"/>
          </w:tcPr>
          <w:p w14:paraId="69E19202" w14:textId="4AAE9E94" w:rsidR="009241C6" w:rsidRPr="00C10D39" w:rsidRDefault="009241C6" w:rsidP="009241C6">
            <w:pPr>
              <w:rPr>
                <w:szCs w:val="24"/>
              </w:rPr>
            </w:pPr>
            <w:r w:rsidRPr="009241C6">
              <w:rPr>
                <w:szCs w:val="24"/>
              </w:rPr>
              <w:t>Blasfeman contra Dios (Ap. 13:6)</w:t>
            </w:r>
          </w:p>
        </w:tc>
        <w:tc>
          <w:tcPr>
            <w:tcW w:w="6036" w:type="dxa"/>
          </w:tcPr>
          <w:p w14:paraId="0DAB35E4" w14:textId="304D8335" w:rsidR="009241C6" w:rsidRPr="00C10D39" w:rsidRDefault="009241C6" w:rsidP="009241C6">
            <w:pPr>
              <w:rPr>
                <w:szCs w:val="24"/>
              </w:rPr>
            </w:pPr>
            <w:r w:rsidRPr="00C10D39">
              <w:rPr>
                <w:szCs w:val="24"/>
              </w:rPr>
              <w:t>Proclaman con júbilo la salvación (Sal. 5:11; Ap. 14:6-7)</w:t>
            </w:r>
          </w:p>
        </w:tc>
      </w:tr>
    </w:tbl>
    <w:p w14:paraId="6AFE223C" w14:textId="3E0465CA" w:rsidR="00395C43" w:rsidRPr="00C10D39" w:rsidRDefault="00C8003F" w:rsidP="00C8003F">
      <w:pPr>
        <w:pStyle w:val="Prrafodelista"/>
        <w:numPr>
          <w:ilvl w:val="0"/>
          <w:numId w:val="1"/>
        </w:numPr>
        <w:rPr>
          <w:b/>
          <w:bCs/>
          <w:szCs w:val="24"/>
        </w:rPr>
      </w:pPr>
      <w:r w:rsidRPr="00C10D39">
        <w:rPr>
          <w:b/>
          <w:bCs/>
          <w:szCs w:val="24"/>
        </w:rPr>
        <w:lastRenderedPageBreak/>
        <w:t>Salmo 51: La proclamación del Evangelio.</w:t>
      </w:r>
    </w:p>
    <w:p w14:paraId="18E53EA5" w14:textId="2E508151" w:rsidR="00C10D39" w:rsidRPr="00C10D39" w:rsidRDefault="00C10D39" w:rsidP="00C10D39">
      <w:pPr>
        <w:pStyle w:val="Prrafodelista"/>
        <w:numPr>
          <w:ilvl w:val="1"/>
          <w:numId w:val="1"/>
        </w:numPr>
        <w:rPr>
          <w:szCs w:val="24"/>
        </w:rPr>
      </w:pPr>
      <w:r w:rsidRPr="00C10D39">
        <w:rPr>
          <w:szCs w:val="24"/>
        </w:rPr>
        <w:t>No podemos engañarnos: todos somos pecadores (Sal. 14:3; Ro. 3:10; 1Jn. 1:8). Como pecadores, no somos dignos de proclamar el evangelio de la Salvación. Ese era el sentimiento de Isaías (Is. 6:5) y el del rey David (Sal. 51:3-5).</w:t>
      </w:r>
    </w:p>
    <w:p w14:paraId="7E26B73C" w14:textId="5D7B1C78" w:rsidR="00C10D39" w:rsidRPr="00C10D39" w:rsidRDefault="00C10D39" w:rsidP="00C10D39">
      <w:pPr>
        <w:pStyle w:val="Prrafodelista"/>
        <w:numPr>
          <w:ilvl w:val="1"/>
          <w:numId w:val="1"/>
        </w:numPr>
        <w:rPr>
          <w:szCs w:val="24"/>
        </w:rPr>
      </w:pPr>
      <w:r w:rsidRPr="00C10D39">
        <w:rPr>
          <w:szCs w:val="24"/>
        </w:rPr>
        <w:t>Pero hay buenas noticias: nuestra experiencia puede ser la misma que la de estos dos profetas. A ambos se les perdonó su pecado (Is. 6:7; Sal. 51:12); y ambos comenzaron a proclamar el mensaje de Dios al mundo (Is. 6:8; Sal. 51:13).</w:t>
      </w:r>
    </w:p>
    <w:p w14:paraId="774E2348" w14:textId="0667A35D" w:rsidR="00C10D39" w:rsidRPr="00C10D39" w:rsidRDefault="00C10D39" w:rsidP="00C10D39">
      <w:pPr>
        <w:pStyle w:val="Prrafodelista"/>
        <w:numPr>
          <w:ilvl w:val="1"/>
          <w:numId w:val="1"/>
        </w:numPr>
        <w:rPr>
          <w:szCs w:val="24"/>
        </w:rPr>
      </w:pPr>
      <w:r w:rsidRPr="00C10D39">
        <w:rPr>
          <w:szCs w:val="24"/>
        </w:rPr>
        <w:t>Del triple mensaje que se proclama al mundo en la última generación, los dos últimos son un llamado a abandonar el pecado (Ap. 14:8-10). Por eso, es imprescindible que, antes de señalar el pecado, sea proclamada su solución, a través del primer mensaje: el evangelio eterno (Ap. 14:6-7).</w:t>
      </w:r>
    </w:p>
    <w:sectPr w:rsidR="00C10D39" w:rsidRPr="00C10D39"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252C0A"/>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241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03F"/>
    <w:rsid w:val="00004746"/>
    <w:rsid w:val="000B440E"/>
    <w:rsid w:val="001E4AA8"/>
    <w:rsid w:val="00226F9C"/>
    <w:rsid w:val="003036B8"/>
    <w:rsid w:val="00395C43"/>
    <w:rsid w:val="003D5E96"/>
    <w:rsid w:val="004D5CB2"/>
    <w:rsid w:val="005C7337"/>
    <w:rsid w:val="006B286A"/>
    <w:rsid w:val="00854DC7"/>
    <w:rsid w:val="009241C6"/>
    <w:rsid w:val="0092715F"/>
    <w:rsid w:val="00A642DF"/>
    <w:rsid w:val="00AB406A"/>
    <w:rsid w:val="00BA3EAE"/>
    <w:rsid w:val="00C10D39"/>
    <w:rsid w:val="00C22FAD"/>
    <w:rsid w:val="00C46A68"/>
    <w:rsid w:val="00C717EA"/>
    <w:rsid w:val="00C8003F"/>
    <w:rsid w:val="00E4522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EFAD6"/>
  <w15:chartTrackingRefBased/>
  <w15:docId w15:val="{A01E0F6D-BC56-4D74-A075-03551B2B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C800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800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8003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8003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8003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8003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8003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8003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8003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C8003F"/>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C8003F"/>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C8003F"/>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C8003F"/>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C8003F"/>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C8003F"/>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C8003F"/>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C8003F"/>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C8003F"/>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C80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8003F"/>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C8003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8003F"/>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C8003F"/>
    <w:pPr>
      <w:spacing w:before="160"/>
      <w:jc w:val="center"/>
    </w:pPr>
    <w:rPr>
      <w:i/>
      <w:iCs/>
      <w:color w:val="404040" w:themeColor="text1" w:themeTint="BF"/>
    </w:rPr>
  </w:style>
  <w:style w:type="character" w:customStyle="1" w:styleId="CitaCar">
    <w:name w:val="Cita Car"/>
    <w:basedOn w:val="Fuentedeprrafopredeter"/>
    <w:link w:val="Cita"/>
    <w:uiPriority w:val="29"/>
    <w:rsid w:val="00C8003F"/>
    <w:rPr>
      <w:i/>
      <w:iCs/>
      <w:color w:val="404040" w:themeColor="text1" w:themeTint="BF"/>
      <w:kern w:val="0"/>
      <w:sz w:val="24"/>
      <w14:ligatures w14:val="none"/>
    </w:rPr>
  </w:style>
  <w:style w:type="paragraph" w:styleId="Prrafodelista">
    <w:name w:val="List Paragraph"/>
    <w:basedOn w:val="Normal"/>
    <w:uiPriority w:val="34"/>
    <w:qFormat/>
    <w:rsid w:val="00C8003F"/>
    <w:pPr>
      <w:ind w:left="720"/>
      <w:contextualSpacing/>
    </w:pPr>
  </w:style>
  <w:style w:type="character" w:styleId="nfasisintenso">
    <w:name w:val="Intense Emphasis"/>
    <w:basedOn w:val="Fuentedeprrafopredeter"/>
    <w:uiPriority w:val="21"/>
    <w:qFormat/>
    <w:rsid w:val="00C8003F"/>
    <w:rPr>
      <w:i/>
      <w:iCs/>
      <w:color w:val="0F4761" w:themeColor="accent1" w:themeShade="BF"/>
    </w:rPr>
  </w:style>
  <w:style w:type="paragraph" w:styleId="Citadestacada">
    <w:name w:val="Intense Quote"/>
    <w:basedOn w:val="Normal"/>
    <w:next w:val="Normal"/>
    <w:link w:val="CitadestacadaCar"/>
    <w:uiPriority w:val="30"/>
    <w:qFormat/>
    <w:rsid w:val="00C80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8003F"/>
    <w:rPr>
      <w:i/>
      <w:iCs/>
      <w:color w:val="0F4761" w:themeColor="accent1" w:themeShade="BF"/>
      <w:kern w:val="0"/>
      <w:sz w:val="24"/>
      <w14:ligatures w14:val="none"/>
    </w:rPr>
  </w:style>
  <w:style w:type="character" w:styleId="Referenciaintensa">
    <w:name w:val="Intense Reference"/>
    <w:basedOn w:val="Fuentedeprrafopredeter"/>
    <w:uiPriority w:val="32"/>
    <w:qFormat/>
    <w:rsid w:val="00C8003F"/>
    <w:rPr>
      <w:b/>
      <w:bCs/>
      <w:smallCaps/>
      <w:color w:val="0F4761" w:themeColor="accent1" w:themeShade="BF"/>
      <w:spacing w:val="5"/>
    </w:rPr>
  </w:style>
  <w:style w:type="table" w:styleId="Tablaconcuadrcula">
    <w:name w:val="Table Grid"/>
    <w:basedOn w:val="Tablanormal"/>
    <w:uiPriority w:val="39"/>
    <w:rsid w:val="00924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rsid w:val="009241C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634</Words>
  <Characters>3493</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8</cp:revision>
  <dcterms:created xsi:type="dcterms:W3CDTF">2025-05-01T08:57:00Z</dcterms:created>
  <dcterms:modified xsi:type="dcterms:W3CDTF">2025-05-12T19:20:00Z</dcterms:modified>
</cp:coreProperties>
</file>